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14FF3FB3"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1403D3">
        <w:rPr>
          <w:b/>
          <w:noProof/>
          <w:sz w:val="24"/>
        </w:rPr>
        <w:t>6</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ED5870">
        <w:rPr>
          <w:b/>
          <w:noProof/>
          <w:sz w:val="24"/>
        </w:rPr>
        <w:t>04775</w:t>
      </w:r>
    </w:p>
    <w:bookmarkEnd w:id="1"/>
    <w:bookmarkEnd w:id="2"/>
    <w:p w14:paraId="3DEA82A0" w14:textId="1ABBA013" w:rsidR="001A6150" w:rsidRPr="0062079E" w:rsidRDefault="003D654D" w:rsidP="00C93588">
      <w:pPr>
        <w:pStyle w:val="a4"/>
        <w:spacing w:after="100" w:afterAutospacing="1"/>
        <w:rPr>
          <w:rFonts w:eastAsia="MS Mincho"/>
          <w:sz w:val="24"/>
          <w:lang w:val="fr-CA"/>
        </w:rPr>
      </w:pPr>
      <w:r>
        <w:rPr>
          <w:rFonts w:eastAsia="MS Mincho"/>
          <w:sz w:val="24"/>
          <w:lang w:val="fr-CA"/>
        </w:rPr>
        <w:t>Fukuoka, Japan</w:t>
      </w:r>
      <w:r w:rsidR="003902B2" w:rsidRPr="0062079E">
        <w:rPr>
          <w:rFonts w:eastAsia="MS Mincho"/>
          <w:sz w:val="24"/>
          <w:lang w:val="fr-CA"/>
        </w:rPr>
        <w:t xml:space="preserve">, </w:t>
      </w:r>
      <w:r>
        <w:rPr>
          <w:rFonts w:eastAsia="MS Mincho"/>
          <w:sz w:val="24"/>
          <w:lang w:val="fr-CA"/>
        </w:rPr>
        <w:t>20</w:t>
      </w:r>
      <w:r w:rsidR="00BF56BD" w:rsidRPr="00BF56BD">
        <w:rPr>
          <w:rFonts w:eastAsia="MS Mincho"/>
          <w:sz w:val="24"/>
          <w:vertAlign w:val="superscript"/>
          <w:lang w:val="fr-CA"/>
        </w:rPr>
        <w:t>th</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96055E">
        <w:rPr>
          <w:rFonts w:eastAsia="MS Mincho"/>
          <w:sz w:val="24"/>
          <w:vertAlign w:val="superscript"/>
          <w:lang w:val="fr-CA"/>
        </w:rPr>
        <w:t>th</w:t>
      </w:r>
      <w:r w:rsidR="00BF56BD">
        <w:rPr>
          <w:rFonts w:eastAsia="MS Mincho"/>
          <w:sz w:val="24"/>
          <w:lang w:val="fr-CA"/>
        </w:rPr>
        <w:t xml:space="preserve"> </w:t>
      </w:r>
      <w:r w:rsidR="001403D3">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42AB498"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EE2C3A">
        <w:rPr>
          <w:rFonts w:ascii="Arial" w:hAnsi="Arial"/>
          <w:b/>
          <w:sz w:val="24"/>
          <w:lang w:val="fr-CA"/>
        </w:rPr>
        <w:t>8.7.1</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7F70DA53"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A44605">
        <w:rPr>
          <w:rFonts w:ascii="Arial" w:hAnsi="Arial"/>
          <w:b/>
          <w:sz w:val="24"/>
        </w:rPr>
        <w:t>LS</w:t>
      </w:r>
      <w:r w:rsidR="00AB6DFB">
        <w:rPr>
          <w:rFonts w:ascii="Arial" w:hAnsi="Arial"/>
          <w:b/>
          <w:sz w:val="24"/>
        </w:rPr>
        <w:t>s</w:t>
      </w:r>
      <w:r w:rsidR="00A44605">
        <w:rPr>
          <w:rFonts w:ascii="Arial" w:hAnsi="Arial"/>
          <w:b/>
          <w:sz w:val="24"/>
        </w:rPr>
        <w:t xml:space="preserve"> from SA2 for XR</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6929A138" w14:textId="2B532E95" w:rsidR="00991842" w:rsidRDefault="00CF4E24" w:rsidP="00C045EA">
      <w:pPr>
        <w:spacing w:before="100" w:beforeAutospacing="1" w:after="100" w:afterAutospacing="1"/>
        <w:jc w:val="both"/>
        <w:rPr>
          <w:color w:val="000000"/>
        </w:rPr>
      </w:pPr>
      <w:r>
        <w:rPr>
          <w:color w:val="000000"/>
        </w:rPr>
        <w:t>SA has sent two LSs to RAN2, asking for some feedback for the specific issues for XR. Many aspects were involved, including inter-PDU set dependency, network exposure, FEC and so on. In this contribution, we will analyse the questions and propose for proper replies from the technical perspective.</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0BEF4249" w:rsidR="000B1B5F" w:rsidRDefault="000B1B5F" w:rsidP="002748F0">
      <w:pPr>
        <w:pStyle w:val="20"/>
        <w:spacing w:before="100" w:beforeAutospacing="1" w:after="100" w:afterAutospacing="1"/>
      </w:pPr>
      <w:r>
        <w:rPr>
          <w:rFonts w:hint="eastAsia"/>
        </w:rPr>
        <w:t>2</w:t>
      </w:r>
      <w:r>
        <w:t xml:space="preserve">.1 </w:t>
      </w:r>
      <w:r w:rsidR="00181B7B">
        <w:t xml:space="preserve">Discussion on </w:t>
      </w:r>
      <w:r w:rsidR="00181B7B" w:rsidRPr="00181B7B">
        <w:t>S2-2405625</w:t>
      </w:r>
    </w:p>
    <w:p w14:paraId="511A7F46" w14:textId="4C364B0D" w:rsidR="00181B7B" w:rsidRDefault="00181B7B" w:rsidP="002748F0">
      <w:pPr>
        <w:pStyle w:val="3"/>
        <w:spacing w:before="100" w:beforeAutospacing="1" w:after="100" w:afterAutospacing="1"/>
      </w:pPr>
      <w:r>
        <w:rPr>
          <w:rFonts w:hint="eastAsia"/>
        </w:rPr>
        <w:t>2</w:t>
      </w:r>
      <w:r>
        <w:t>.1.1 Inter-PDU set dependency</w:t>
      </w:r>
    </w:p>
    <w:p w14:paraId="59E9FD66" w14:textId="74EA6229" w:rsidR="00181B7B" w:rsidRDefault="0016366F" w:rsidP="002748F0">
      <w:pPr>
        <w:spacing w:before="100" w:beforeAutospacing="1" w:after="100" w:afterAutospacing="1"/>
      </w:pPr>
      <w:r>
        <w:rPr>
          <w:rFonts w:hint="eastAsia"/>
        </w:rPr>
        <w:t>T</w:t>
      </w:r>
      <w:r>
        <w:t>he first question in S2-2405625</w:t>
      </w:r>
      <w:r w:rsidR="00DB45F9">
        <w:t xml:space="preserve"> [1] is about the dependency relationship among PDU sets. The question is excerpted below.</w:t>
      </w:r>
    </w:p>
    <w:tbl>
      <w:tblPr>
        <w:tblStyle w:val="af5"/>
        <w:tblW w:w="0" w:type="auto"/>
        <w:tblLook w:val="04A0" w:firstRow="1" w:lastRow="0" w:firstColumn="1" w:lastColumn="0" w:noHBand="0" w:noVBand="1"/>
      </w:tblPr>
      <w:tblGrid>
        <w:gridCol w:w="9629"/>
      </w:tblGrid>
      <w:tr w:rsidR="00DB45F9" w14:paraId="2CB23386" w14:textId="77777777" w:rsidTr="00DB45F9">
        <w:tc>
          <w:tcPr>
            <w:tcW w:w="9629" w:type="dxa"/>
          </w:tcPr>
          <w:p w14:paraId="765B6EAF" w14:textId="7C0DF868" w:rsidR="00DB45F9" w:rsidRPr="00DB45F9" w:rsidRDefault="00DB45F9" w:rsidP="00DB45F9">
            <w:pPr>
              <w:numPr>
                <w:ilvl w:val="0"/>
                <w:numId w:val="42"/>
              </w:numPr>
              <w:spacing w:before="100" w:beforeAutospacing="1" w:after="100" w:afterAutospacing="1"/>
              <w:ind w:left="357" w:hanging="357"/>
            </w:pPr>
            <w:bookmarkStart w:id="5" w:name="_Hlk164248013"/>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 RAN2 and RAN3</w:t>
            </w:r>
            <w:r>
              <w:rPr>
                <w:rFonts w:ascii="Arial" w:hAnsi="Arial" w:cs="Arial"/>
                <w:b/>
              </w:rPr>
              <w:t>]</w:t>
            </w:r>
            <w:r w:rsidRPr="0073645D">
              <w:rPr>
                <w:rFonts w:ascii="Arial" w:hAnsi="Arial" w:cs="Arial"/>
                <w:b/>
              </w:rPr>
              <w:t>:</w:t>
            </w:r>
            <w:r w:rsidRPr="0073645D">
              <w:rPr>
                <w:rFonts w:ascii="Arial" w:eastAsia="等线" w:hAnsi="Arial" w:cs="Arial"/>
              </w:rPr>
              <w:t xml:space="preserve"> PDU Set correlation information</w:t>
            </w:r>
            <w:r>
              <w:rPr>
                <w:rFonts w:ascii="Arial" w:eastAsia="等线" w:hAnsi="Arial" w:cs="Arial"/>
              </w:rPr>
              <w:t xml:space="preserve"> </w:t>
            </w:r>
            <w:r w:rsidRPr="0073645D">
              <w:rPr>
                <w:rFonts w:ascii="Arial" w:eastAsia="等线" w:hAnsi="Arial" w:cs="Arial"/>
              </w:rPr>
              <w:t>(</w:t>
            </w:r>
            <w:r>
              <w:rPr>
                <w:rFonts w:ascii="Arial" w:eastAsia="等线" w:hAnsi="Arial" w:cs="Arial"/>
              </w:rPr>
              <w:t>S</w:t>
            </w:r>
            <w:r w:rsidRPr="0073645D">
              <w:rPr>
                <w:rFonts w:ascii="Arial" w:eastAsia="等线" w:hAnsi="Arial" w:cs="Arial"/>
              </w:rPr>
              <w:t xml:space="preserve">ol#23) provides the dependency relationship among PDU Sets. </w:t>
            </w:r>
            <w:bookmarkEnd w:id="5"/>
            <w:r w:rsidRPr="0059758B">
              <w:rPr>
                <w:rFonts w:ascii="Arial" w:eastAsia="等线" w:hAnsi="Arial" w:cs="Arial"/>
              </w:rPr>
              <w:t>Does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rPr>
              <w:t>?</w:t>
            </w:r>
          </w:p>
        </w:tc>
      </w:tr>
    </w:tbl>
    <w:p w14:paraId="356816FF" w14:textId="74827769" w:rsidR="00A7179E" w:rsidRDefault="00F24B79" w:rsidP="002748F0">
      <w:pPr>
        <w:spacing w:before="100" w:beforeAutospacing="1" w:after="100" w:afterAutospacing="1"/>
      </w:pPr>
      <w:r>
        <w:t>Actually, inter-PDU set dependency has already be</w:t>
      </w:r>
      <w:r w:rsidR="00B86874">
        <w:t>en</w:t>
      </w:r>
      <w:r>
        <w:t xml:space="preserve"> considered in R18</w:t>
      </w:r>
      <w:r>
        <w:rPr>
          <w:rFonts w:hint="eastAsia"/>
        </w:rPr>
        <w:t>,</w:t>
      </w:r>
      <w:r>
        <w:t xml:space="preserve"> but no enhancement was finally ad</w:t>
      </w:r>
      <w:r w:rsidR="00C232F2">
        <w:t xml:space="preserve">opted due to the lack of further study. There was no definition for inter-PDU set dependency in SA2 or SA4. Also, it was not clear whether PDU set discarding based on </w:t>
      </w:r>
      <w:r w:rsidR="00CC79A5">
        <w:t>inter-PDU set dependency is acceptable to the APP.</w:t>
      </w:r>
      <w:r w:rsidR="00A7179E">
        <w:rPr>
          <w:rFonts w:hint="eastAsia"/>
        </w:rPr>
        <w:t xml:space="preserve"> </w:t>
      </w:r>
    </w:p>
    <w:p w14:paraId="7FE1C2AB" w14:textId="77777777" w:rsidR="003F2A17" w:rsidRDefault="00A7179E" w:rsidP="002748F0">
      <w:pPr>
        <w:spacing w:before="100" w:beforeAutospacing="1" w:after="100" w:afterAutospacing="1"/>
      </w:pPr>
      <w:r>
        <w:t>Generally, the PDU set correlation information</w:t>
      </w:r>
      <w:r w:rsidR="00AF4A50">
        <w:t xml:space="preserve"> can be helpful from RAN perspective. For example, if it is confirmed that the dependent PDU sets (</w:t>
      </w:r>
      <w:proofErr w:type="gramStart"/>
      <w:r w:rsidR="00AF4A50">
        <w:t>e.g.</w:t>
      </w:r>
      <w:proofErr w:type="gramEnd"/>
      <w:r w:rsidR="00AF4A50">
        <w:t xml:space="preserve"> P frames) can be discarded when the corresponding independent PDU set (e.g. I frame) is lo</w:t>
      </w:r>
      <w:r w:rsidR="005A6249">
        <w:t>st, the network can</w:t>
      </w:r>
      <w:r w:rsidR="00AF4A50">
        <w:t xml:space="preserve"> save </w:t>
      </w:r>
      <w:r w:rsidR="005A6249">
        <w:t xml:space="preserve">much </w:t>
      </w:r>
      <w:r w:rsidR="00AF4A50">
        <w:t xml:space="preserve">resource </w:t>
      </w:r>
      <w:r w:rsidR="005A6249">
        <w:t xml:space="preserve">by not transmitting the dependent PDU sets. </w:t>
      </w:r>
      <w:r w:rsidR="00870FCC">
        <w:t>However, this should be confirmed by SA4 first.</w:t>
      </w:r>
      <w:r w:rsidR="00870FCC">
        <w:rPr>
          <w:rFonts w:hint="eastAsia"/>
        </w:rPr>
        <w:t xml:space="preserve"> </w:t>
      </w:r>
    </w:p>
    <w:p w14:paraId="25C6FA05" w14:textId="711F0E9B" w:rsidR="001F6515" w:rsidRDefault="00C935AF" w:rsidP="002748F0">
      <w:pPr>
        <w:spacing w:before="100" w:beforeAutospacing="1" w:after="100" w:afterAutospacing="1"/>
      </w:pPr>
      <w:r>
        <w:t>Moreover</w:t>
      </w:r>
      <w:r w:rsidR="001F6515">
        <w:t>, it should be noticed that whether the enhancements based on inter-PDU set dependency could be implemented needs to be further considered. Considering the implementation complexity, it is not expected to have too complex relationship for inter-PDU set dependency because it would be difficult for RAN to understand and remember the relationship.</w:t>
      </w:r>
      <w:r w:rsidR="00366F4B">
        <w:t xml:space="preserve"> </w:t>
      </w:r>
    </w:p>
    <w:p w14:paraId="4201EB0E" w14:textId="0ED40C2E" w:rsidR="004549F3" w:rsidRDefault="004549F3" w:rsidP="00CA3775">
      <w:pPr>
        <w:spacing w:before="100" w:beforeAutospacing="1" w:after="100" w:afterAutospacing="1"/>
      </w:pPr>
    </w:p>
    <w:p w14:paraId="6C855B66" w14:textId="0BA48EB0" w:rsidR="00AB38A8" w:rsidRDefault="00AB38A8" w:rsidP="002748F0">
      <w:pPr>
        <w:spacing w:before="100" w:beforeAutospacing="1" w:after="100" w:afterAutospacing="1"/>
      </w:pPr>
      <w:r>
        <w:rPr>
          <w:rFonts w:hint="eastAsia"/>
        </w:rPr>
        <w:t>B</w:t>
      </w:r>
      <w:r>
        <w:t>ased on the above discussion, we propose RAN2 to explain the situation to SA2, i.e., the PDU</w:t>
      </w:r>
      <w:r>
        <w:rPr>
          <w:rFonts w:hint="eastAsia"/>
        </w:rPr>
        <w:t xml:space="preserve"> </w:t>
      </w:r>
      <w:r>
        <w:t>set correlation information can be useful to improve the capacity or experience, but the dependency relationship should not be too complex, otherwise it would be difficult for RAN to utilize.</w:t>
      </w:r>
    </w:p>
    <w:p w14:paraId="4302A1D8" w14:textId="08695BAA" w:rsidR="00AB38A8" w:rsidRPr="00AB38A8" w:rsidRDefault="00AB38A8" w:rsidP="002748F0">
      <w:pPr>
        <w:spacing w:before="100" w:beforeAutospacing="1" w:after="100" w:afterAutospacing="1"/>
        <w:rPr>
          <w:b/>
        </w:rPr>
      </w:pPr>
      <w:r w:rsidRPr="00AB38A8">
        <w:rPr>
          <w:b/>
          <w:i/>
          <w:u w:val="single"/>
        </w:rPr>
        <w:t>Proposal 1:</w:t>
      </w:r>
      <w:r w:rsidRPr="00AB38A8">
        <w:rPr>
          <w:b/>
        </w:rPr>
        <w:t xml:space="preserve"> RAN2 to reply to SA2 that there is some improvement if RAN can be provided with the inter-PDU set correlation information</w:t>
      </w:r>
      <w:r w:rsidR="003452E2">
        <w:rPr>
          <w:b/>
        </w:rPr>
        <w:t xml:space="preserve">. But there </w:t>
      </w:r>
      <w:r w:rsidR="00492BCC">
        <w:rPr>
          <w:b/>
        </w:rPr>
        <w:t>are</w:t>
      </w:r>
      <w:r w:rsidR="003452E2">
        <w:rPr>
          <w:b/>
        </w:rPr>
        <w:t xml:space="preserve"> also concerns on the complexity </w:t>
      </w:r>
      <w:r w:rsidR="00C16877">
        <w:rPr>
          <w:b/>
        </w:rPr>
        <w:t>of</w:t>
      </w:r>
      <w:r w:rsidR="003452E2">
        <w:rPr>
          <w:b/>
        </w:rPr>
        <w:t xml:space="preserve"> PDU set discard based on inter-PDU set dependency</w:t>
      </w:r>
      <w:r w:rsidR="00CD7D2A">
        <w:rPr>
          <w:b/>
        </w:rPr>
        <w:t>.</w:t>
      </w:r>
    </w:p>
    <w:p w14:paraId="377FF337" w14:textId="68B52CC1" w:rsidR="00F25438" w:rsidRDefault="00F25438" w:rsidP="00F25438">
      <w:pPr>
        <w:pStyle w:val="3"/>
        <w:spacing w:before="100" w:beforeAutospacing="1" w:after="100" w:afterAutospacing="1"/>
      </w:pPr>
      <w:r>
        <w:rPr>
          <w:rFonts w:hint="eastAsia"/>
        </w:rPr>
        <w:t>2</w:t>
      </w:r>
      <w:r>
        <w:t>.1.2 Available data rate exposure</w:t>
      </w:r>
    </w:p>
    <w:p w14:paraId="42A25B26" w14:textId="6E561016" w:rsidR="00F25438" w:rsidRDefault="003D623D" w:rsidP="00F25438">
      <w:pPr>
        <w:spacing w:before="100" w:beforeAutospacing="1" w:after="100" w:afterAutospacing="1"/>
      </w:pPr>
      <w:r>
        <w:t xml:space="preserve">Question3 asks </w:t>
      </w:r>
      <w:r w:rsidR="003F525C">
        <w:t xml:space="preserve">for </w:t>
      </w:r>
      <w:r>
        <w:t>feedback for available data rate exposure:</w:t>
      </w:r>
    </w:p>
    <w:tbl>
      <w:tblPr>
        <w:tblStyle w:val="af5"/>
        <w:tblW w:w="0" w:type="auto"/>
        <w:tblLook w:val="04A0" w:firstRow="1" w:lastRow="0" w:firstColumn="1" w:lastColumn="0" w:noHBand="0" w:noVBand="1"/>
      </w:tblPr>
      <w:tblGrid>
        <w:gridCol w:w="9629"/>
      </w:tblGrid>
      <w:tr w:rsidR="003D623D" w14:paraId="4824CCB5" w14:textId="77777777" w:rsidTr="003D623D">
        <w:tc>
          <w:tcPr>
            <w:tcW w:w="9629" w:type="dxa"/>
          </w:tcPr>
          <w:p w14:paraId="40884DFD" w14:textId="3E8EA40D" w:rsidR="003D623D" w:rsidRPr="003D623D" w:rsidRDefault="003D623D" w:rsidP="003D623D">
            <w:pPr>
              <w:numPr>
                <w:ilvl w:val="0"/>
                <w:numId w:val="42"/>
              </w:numPr>
              <w:spacing w:before="100" w:beforeAutospacing="1" w:after="100" w:afterAutospacing="1"/>
              <w:ind w:left="357" w:hanging="357"/>
            </w:pPr>
            <w:r w:rsidRPr="003D623D">
              <w:rPr>
                <w:rFonts w:ascii="Arial" w:hAnsi="Arial" w:cs="Arial"/>
                <w:b/>
              </w:rPr>
              <w:lastRenderedPageBreak/>
              <w:t>Question</w:t>
            </w:r>
            <w:r w:rsidRPr="003D623D">
              <w:rPr>
                <w:rFonts w:ascii="Arial" w:hAnsi="Arial" w:cs="Arial" w:hint="eastAsia"/>
                <w:b/>
              </w:rPr>
              <w:t>3</w:t>
            </w:r>
            <w:r w:rsidRPr="003D623D">
              <w:rPr>
                <w:rFonts w:ascii="Arial" w:hAnsi="Arial" w:cs="Arial"/>
                <w:b/>
              </w:rPr>
              <w:t xml:space="preserve"> [for </w:t>
            </w:r>
            <w:r w:rsidRPr="003D623D">
              <w:rPr>
                <w:rFonts w:ascii="Aptos" w:hAnsi="Aptos"/>
                <w:b/>
                <w:color w:val="000000"/>
              </w:rPr>
              <w:t>RAN2 and RAN3</w:t>
            </w:r>
            <w:r w:rsidRPr="003D623D">
              <w:rPr>
                <w:rFonts w:ascii="Arial" w:hAnsi="Arial" w:cs="Arial"/>
                <w:b/>
              </w:rPr>
              <w:t>]:</w:t>
            </w:r>
            <w:r w:rsidRPr="003D623D">
              <w:rPr>
                <w:rFonts w:ascii="Arial" w:eastAsia="等线" w:hAnsi="Arial" w:cs="Arial"/>
              </w:rPr>
              <w:t xml:space="preserve"> SA2 would like to ask for to feedback on whether it is feasible for the NG-RAN to provide available data rate for the (non-)GBR QoS Flows. </w:t>
            </w:r>
          </w:p>
        </w:tc>
      </w:tr>
    </w:tbl>
    <w:p w14:paraId="660407D4" w14:textId="2B509D9F" w:rsidR="00EC32FF" w:rsidRDefault="00541FD5" w:rsidP="00F25438">
      <w:pPr>
        <w:spacing w:before="100" w:beforeAutospacing="1" w:after="100" w:afterAutospacing="1"/>
      </w:pPr>
      <w:r>
        <w:rPr>
          <w:rFonts w:hint="eastAsia"/>
        </w:rPr>
        <w:t>F</w:t>
      </w:r>
      <w:r>
        <w:t xml:space="preserve">or GBR QoS flows, NG-RAN should be able to </w:t>
      </w:r>
      <w:r w:rsidR="00413751">
        <w:t xml:space="preserve">provide </w:t>
      </w:r>
      <w:r>
        <w:t>the available data rate</w:t>
      </w:r>
      <w:r w:rsidR="00EC32FF">
        <w:t>. Usually, GBR QoS flows are provided with the required flow bit rate. To guarantee the QoS requirements, NG-RAN may reserve some resource so that the required bit rate can be</w:t>
      </w:r>
      <w:r w:rsidR="00413751">
        <w:t xml:space="preserve"> met. With the reservation, the available bit rate is somehow deterministic.</w:t>
      </w:r>
    </w:p>
    <w:p w14:paraId="5C0A5CAB" w14:textId="4EBB9961" w:rsidR="003D623D" w:rsidRDefault="00EC32FF" w:rsidP="00F25438">
      <w:pPr>
        <w:spacing w:before="100" w:beforeAutospacing="1" w:after="100" w:afterAutospacing="1"/>
      </w:pPr>
      <w:r>
        <w:t>T</w:t>
      </w:r>
      <w:r w:rsidR="00541FD5">
        <w:t>here are already some similar mechanisms supported</w:t>
      </w:r>
      <w:r w:rsidR="00D673AE">
        <w:t xml:space="preserve"> for GBR QoS flows</w:t>
      </w:r>
      <w:r w:rsidR="00541FD5">
        <w:t>, such as Alternative QoS</w:t>
      </w:r>
      <w:r w:rsidR="00976996">
        <w:t xml:space="preserve"> and recommended bit rate</w:t>
      </w:r>
      <w:r w:rsidR="00541FD5">
        <w:t>. For Alternative QoS, NG-RAN</w:t>
      </w:r>
      <w:r w:rsidR="00541FD5">
        <w:rPr>
          <w:rFonts w:hint="eastAsia"/>
        </w:rPr>
        <w:t xml:space="preserve"> </w:t>
      </w:r>
      <w:r w:rsidR="00541FD5">
        <w:t xml:space="preserve">can provide </w:t>
      </w:r>
      <w:r w:rsidR="003174B6">
        <w:t xml:space="preserve">the </w:t>
      </w:r>
      <w:r w:rsidR="00541FD5">
        <w:t xml:space="preserve">feedback to CN on whether the required GFBR can be guaranteed or not, and which alternative one can be fulfilled. This implies that the NG-RAN shall evaluate the available </w:t>
      </w:r>
      <w:r w:rsidR="00413D20">
        <w:t>bit rate for the QoS flow first</w:t>
      </w:r>
      <w:r w:rsidR="004E1D7D">
        <w:t xml:space="preserve">. </w:t>
      </w:r>
      <w:r w:rsidR="00976996">
        <w:t xml:space="preserve">Also, during the recommended bit rate procedure, the </w:t>
      </w:r>
      <w:r w:rsidR="005716EA">
        <w:t>NG-RAN node</w:t>
      </w:r>
      <w:r w:rsidR="00976996">
        <w:t xml:space="preserve"> </w:t>
      </w:r>
      <w:r w:rsidR="005716EA">
        <w:t>may</w:t>
      </w:r>
      <w:r w:rsidR="00976996">
        <w:t xml:space="preserve"> indicate the recommended bit rate, which can be regarded as the available bit rate, for the UE for a specific LCH.</w:t>
      </w:r>
    </w:p>
    <w:p w14:paraId="6B8334BF" w14:textId="0DF7F60F" w:rsidR="003174B6" w:rsidRDefault="003174B6" w:rsidP="00F25438">
      <w:pPr>
        <w:spacing w:before="100" w:beforeAutospacing="1" w:after="100" w:afterAutospacing="1"/>
      </w:pPr>
      <w:r>
        <w:t>For non-GBR QoS flows, things may be a bit different. There is no required bit rate for non-GBR QoS flows, and NG-RAN would not reserve resource for non-GBR Qo</w:t>
      </w:r>
      <w:r w:rsidR="007F5BFD">
        <w:t xml:space="preserve">S flows, which means it </w:t>
      </w:r>
      <w:r w:rsidR="005716EA">
        <w:t xml:space="preserve">may be </w:t>
      </w:r>
      <w:r w:rsidR="007F5BFD">
        <w:t xml:space="preserve">difficult to predict the data rate in advance. However, from the implementation perspective, we still think it is possible since the NG-RAN node can consider the available resource, the traffic characteristics and the fairness among UEs to evaluate the possible data rate for the QoS flows. </w:t>
      </w:r>
      <w:r w:rsidR="00A83307">
        <w:t>Although the result may be inaccurate, it can still be provided to the CN as a reference. RAN2 can explain this to SA2 so that SA2 can further consider whether the information is needed.</w:t>
      </w:r>
    </w:p>
    <w:p w14:paraId="4D61A236" w14:textId="5DE8A65A" w:rsidR="00A83307" w:rsidRPr="00691ED5" w:rsidRDefault="00A83307" w:rsidP="00F25438">
      <w:pPr>
        <w:spacing w:before="100" w:beforeAutospacing="1" w:after="100" w:afterAutospacing="1"/>
        <w:rPr>
          <w:b/>
        </w:rPr>
      </w:pPr>
      <w:r w:rsidRPr="00691ED5">
        <w:rPr>
          <w:b/>
          <w:i/>
          <w:u w:val="single"/>
        </w:rPr>
        <w:t>Proposal 2:</w:t>
      </w:r>
      <w:r w:rsidRPr="00691ED5">
        <w:rPr>
          <w:b/>
        </w:rPr>
        <w:t xml:space="preserve"> RAN2 to reply to SA2 that it is feasible for the NG-RAN to provide available data rate for the GBR</w:t>
      </w:r>
      <w:r w:rsidR="0017629B">
        <w:rPr>
          <w:b/>
        </w:rPr>
        <w:t xml:space="preserve"> and non-GBR</w:t>
      </w:r>
      <w:r w:rsidRPr="00691ED5">
        <w:rPr>
          <w:b/>
        </w:rPr>
        <w:t xml:space="preserve"> QoS flows</w:t>
      </w:r>
      <w:r w:rsidR="0017629B">
        <w:rPr>
          <w:b/>
        </w:rPr>
        <w:t>. But</w:t>
      </w:r>
      <w:r w:rsidRPr="00691ED5">
        <w:rPr>
          <w:b/>
        </w:rPr>
        <w:t xml:space="preserve"> for non-GBR QoS flows, the information may be </w:t>
      </w:r>
      <w:r w:rsidR="00E27C58">
        <w:rPr>
          <w:b/>
        </w:rPr>
        <w:t xml:space="preserve">less </w:t>
      </w:r>
      <w:r w:rsidRPr="00691ED5">
        <w:rPr>
          <w:b/>
        </w:rPr>
        <w:t>accurate</w:t>
      </w:r>
      <w:r w:rsidR="00E27C58">
        <w:rPr>
          <w:b/>
        </w:rPr>
        <w:t xml:space="preserve"> and stable</w:t>
      </w:r>
      <w:r w:rsidRPr="00691ED5">
        <w:rPr>
          <w:b/>
        </w:rPr>
        <w:t>.</w:t>
      </w:r>
    </w:p>
    <w:p w14:paraId="54E7A867" w14:textId="279F5266" w:rsidR="007B3BD5" w:rsidRDefault="007B3BD5" w:rsidP="007B3BD5">
      <w:pPr>
        <w:pStyle w:val="3"/>
        <w:spacing w:before="100" w:beforeAutospacing="1" w:after="100" w:afterAutospacing="1"/>
      </w:pPr>
      <w:r>
        <w:rPr>
          <w:rFonts w:hint="eastAsia"/>
        </w:rPr>
        <w:t>2</w:t>
      </w:r>
      <w:r>
        <w:t xml:space="preserve">.1.3 </w:t>
      </w:r>
      <w:r w:rsidR="009B06D6">
        <w:t>Dynamic burst size</w:t>
      </w:r>
    </w:p>
    <w:p w14:paraId="1415B502" w14:textId="20C62DD9" w:rsidR="009B06D6" w:rsidRDefault="009B06D6" w:rsidP="009B06D6">
      <w:pPr>
        <w:spacing w:before="100" w:beforeAutospacing="1" w:after="100" w:afterAutospacing="1"/>
      </w:pPr>
      <w:r>
        <w:t xml:space="preserve">In question4, SA2 asks RAN2 whether it is useful if RAN can be provided with burst size of the incoming data burst. </w:t>
      </w:r>
    </w:p>
    <w:tbl>
      <w:tblPr>
        <w:tblStyle w:val="af5"/>
        <w:tblW w:w="0" w:type="auto"/>
        <w:tblLook w:val="04A0" w:firstRow="1" w:lastRow="0" w:firstColumn="1" w:lastColumn="0" w:noHBand="0" w:noVBand="1"/>
      </w:tblPr>
      <w:tblGrid>
        <w:gridCol w:w="9629"/>
      </w:tblGrid>
      <w:tr w:rsidR="009B06D6" w14:paraId="0E272A97" w14:textId="77777777" w:rsidTr="009B06D6">
        <w:tc>
          <w:tcPr>
            <w:tcW w:w="9629" w:type="dxa"/>
          </w:tcPr>
          <w:p w14:paraId="72C4F109" w14:textId="77777777" w:rsidR="009B06D6" w:rsidRDefault="009B06D6" w:rsidP="009B06D6">
            <w:pPr>
              <w:pStyle w:val="af8"/>
              <w:numPr>
                <w:ilvl w:val="0"/>
                <w:numId w:val="43"/>
              </w:numPr>
              <w:adjustRightInd/>
              <w:textAlignment w:val="auto"/>
              <w:rPr>
                <w:rFonts w:ascii="Arial" w:eastAsia="等线" w:hAnsi="Arial" w:cs="Arial"/>
              </w:rPr>
            </w:pPr>
            <w:r>
              <w:rPr>
                <w:rFonts w:ascii="Arial" w:eastAsia="Malgun Gothic" w:hAnsi="Arial" w:cs="Arial"/>
                <w:b/>
                <w:color w:val="000000"/>
                <w:sz w:val="20"/>
                <w:szCs w:val="20"/>
              </w:rPr>
              <w:t>Question4 [for SA4 and RAN2]:</w:t>
            </w:r>
            <w:r>
              <w:rPr>
                <w:rFonts w:ascii="Arial" w:eastAsia="等线" w:hAnsi="Arial" w:cs="Arial"/>
                <w:color w:val="000000"/>
                <w:sz w:val="20"/>
                <w:szCs w:val="20"/>
              </w:rPr>
              <w:t xml:space="preserve"> In Sol#30, the PSA UPF may identify the size of incoming burst based on N6 protocol, and send it to NG-</w:t>
            </w:r>
            <w:proofErr w:type="gramStart"/>
            <w:r>
              <w:rPr>
                <w:rFonts w:ascii="Arial" w:eastAsia="等线" w:hAnsi="Arial" w:cs="Arial"/>
                <w:color w:val="000000"/>
                <w:sz w:val="20"/>
                <w:szCs w:val="20"/>
              </w:rPr>
              <w:t>RAN  to</w:t>
            </w:r>
            <w:proofErr w:type="gramEnd"/>
            <w:r>
              <w:rPr>
                <w:rFonts w:ascii="Arial" w:eastAsia="等线" w:hAnsi="Arial" w:cs="Arial"/>
                <w:color w:val="000000"/>
                <w:sz w:val="20"/>
                <w:szCs w:val="20"/>
              </w:rPr>
              <w:t xml:space="preserve"> assist RAN scheduling.</w:t>
            </w:r>
          </w:p>
          <w:p w14:paraId="085FD58B" w14:textId="77777777" w:rsidR="009B06D6" w:rsidRDefault="009B06D6" w:rsidP="009B06D6">
            <w:pPr>
              <w:pStyle w:val="af8"/>
              <w:numPr>
                <w:ilvl w:val="1"/>
                <w:numId w:val="43"/>
              </w:numPr>
              <w:adjustRightInd/>
              <w:textAlignment w:val="auto"/>
              <w:rPr>
                <w:rFonts w:ascii="Arial" w:eastAsia="等线" w:hAnsi="Arial" w:cs="Arial"/>
              </w:rPr>
            </w:pPr>
            <w:r>
              <w:rPr>
                <w:rFonts w:ascii="Arial" w:eastAsia="等线" w:hAnsi="Arial" w:cs="Arial"/>
                <w:color w:val="000000"/>
                <w:sz w:val="20"/>
                <w:szCs w:val="20"/>
              </w:rPr>
              <w:t xml:space="preserve">Does SA4 see is it possible that the application server provides the burst size in the first packet of the burst via N6? </w:t>
            </w:r>
          </w:p>
          <w:p w14:paraId="55AAA274" w14:textId="5099E4C1" w:rsidR="009B06D6" w:rsidRPr="009B06D6" w:rsidRDefault="009B06D6" w:rsidP="009B06D6">
            <w:pPr>
              <w:pStyle w:val="af8"/>
              <w:numPr>
                <w:ilvl w:val="1"/>
                <w:numId w:val="43"/>
              </w:numPr>
              <w:adjustRightInd/>
              <w:textAlignment w:val="auto"/>
            </w:pPr>
            <w:r w:rsidRPr="009B06D6">
              <w:rPr>
                <w:rFonts w:ascii="Arial" w:eastAsia="等线" w:hAnsi="Arial" w:cs="Arial"/>
                <w:color w:val="000000"/>
                <w:sz w:val="20"/>
                <w:szCs w:val="20"/>
                <w:highlight w:val="yellow"/>
              </w:rPr>
              <w:t>Does RAN2 think the burst size is useful for RAN resource scheduling?</w:t>
            </w:r>
          </w:p>
        </w:tc>
      </w:tr>
    </w:tbl>
    <w:p w14:paraId="16B93D01" w14:textId="77777777" w:rsidR="00CB20C6" w:rsidRDefault="009B06D6" w:rsidP="009B06D6">
      <w:pPr>
        <w:spacing w:before="100" w:beforeAutospacing="1" w:after="100" w:afterAutospacing="1"/>
      </w:pPr>
      <w:r>
        <w:t xml:space="preserve"> </w:t>
      </w:r>
      <w:r w:rsidR="00652A92">
        <w:t xml:space="preserve">According to the Sol#30 in TR 23.700-70, the dynamic burst size can be provided via the GTP-U header before the data burst ends, which means NG-RAN can be aware of the to-be-transmitted data before receiving them. </w:t>
      </w:r>
    </w:p>
    <w:p w14:paraId="09E70C72" w14:textId="2EE0E212" w:rsidR="009B06D6" w:rsidRDefault="00302589" w:rsidP="009B06D6">
      <w:pPr>
        <w:spacing w:before="100" w:beforeAutospacing="1" w:after="100" w:afterAutospacing="1"/>
      </w:pPr>
      <w:r>
        <w:t>This could be</w:t>
      </w:r>
      <w:r w:rsidR="00652A92">
        <w:t xml:space="preserve"> helpful for RAN resource management. </w:t>
      </w:r>
      <w:r w:rsidR="00320099">
        <w:t>W</w:t>
      </w:r>
      <w:r w:rsidR="006521E7">
        <w:t xml:space="preserve">hen the NG-RAN node knows how much data there are to be transmitted, the NG-RAN node can reserve </w:t>
      </w:r>
      <w:r w:rsidR="00320099">
        <w:t xml:space="preserve">the </w:t>
      </w:r>
      <w:r w:rsidR="006521E7">
        <w:t>proper resource in advance, so that the data burst can be transmitted in time</w:t>
      </w:r>
      <w:r w:rsidR="00320099">
        <w:t>, which may improve the user experience</w:t>
      </w:r>
      <w:r w:rsidR="006521E7">
        <w:t>.</w:t>
      </w:r>
      <w:r w:rsidR="00CB20C6">
        <w:t xml:space="preserve"> Besides, the NG-RAN node can also consider to </w:t>
      </w:r>
      <w:r w:rsidR="00320099">
        <w:t xml:space="preserve">adjust the scheduling strategy based on the transmission status of the data burst. </w:t>
      </w:r>
      <w:r w:rsidR="00DB578A">
        <w:t xml:space="preserve">For example, if the NG-RAN node is aware of the whole burst size, it </w:t>
      </w:r>
      <w:r w:rsidR="00483DCB">
        <w:t xml:space="preserve">can prioritize to transmit the burst for which there is </w:t>
      </w:r>
      <w:proofErr w:type="gramStart"/>
      <w:r w:rsidR="00483DCB">
        <w:t>less</w:t>
      </w:r>
      <w:proofErr w:type="gramEnd"/>
      <w:r w:rsidR="00483DCB">
        <w:t xml:space="preserve"> remaining data, so that the burst </w:t>
      </w:r>
      <w:r w:rsidR="00E949F3">
        <w:t xml:space="preserve">spread </w:t>
      </w:r>
      <w:r w:rsidR="00483DCB">
        <w:t>delay is small.</w:t>
      </w:r>
    </w:p>
    <w:p w14:paraId="6526082E" w14:textId="408D9AF3" w:rsidR="006521E7" w:rsidRDefault="006521E7" w:rsidP="009B06D6">
      <w:pPr>
        <w:spacing w:before="100" w:beforeAutospacing="1" w:after="100" w:afterAutospacing="1"/>
      </w:pPr>
      <w:r>
        <w:t>Actually, in R18</w:t>
      </w:r>
      <w:r>
        <w:rPr>
          <w:rFonts w:hint="eastAsia"/>
        </w:rPr>
        <w:t>,</w:t>
      </w:r>
      <w:r>
        <w:t xml:space="preserve"> the provision of PDU set size was already supported. However, there may be some data streams which do not consist of PDU sets. The data burst size is more general and can be widely used for varieties of traffic.</w:t>
      </w:r>
    </w:p>
    <w:p w14:paraId="137E4435" w14:textId="44D5DB90" w:rsidR="006521E7" w:rsidRPr="00737DF9" w:rsidRDefault="006521E7" w:rsidP="009B06D6">
      <w:pPr>
        <w:spacing w:before="100" w:beforeAutospacing="1" w:after="100" w:afterAutospacing="1"/>
        <w:rPr>
          <w:b/>
        </w:rPr>
      </w:pPr>
      <w:r w:rsidRPr="00737DF9">
        <w:rPr>
          <w:b/>
          <w:i/>
          <w:u w:val="single"/>
        </w:rPr>
        <w:t>Proposal 3:</w:t>
      </w:r>
      <w:r w:rsidRPr="00737DF9">
        <w:rPr>
          <w:b/>
        </w:rPr>
        <w:t xml:space="preserve"> RAN2 to reply to SA2 that the burst size is useful for RAN resource scheduling.</w:t>
      </w:r>
    </w:p>
    <w:p w14:paraId="5D16B95A" w14:textId="2161418A" w:rsidR="00FA5B3B" w:rsidRDefault="00FA5B3B" w:rsidP="00FA5B3B">
      <w:pPr>
        <w:pStyle w:val="3"/>
        <w:spacing w:before="100" w:beforeAutospacing="1" w:after="100" w:afterAutospacing="1"/>
      </w:pPr>
      <w:r>
        <w:rPr>
          <w:rFonts w:hint="eastAsia"/>
        </w:rPr>
        <w:t>2</w:t>
      </w:r>
      <w:r>
        <w:t>.1.4 PDU set QoS performance exposure</w:t>
      </w:r>
    </w:p>
    <w:p w14:paraId="4BD1A5FC" w14:textId="2BFD4BE1" w:rsidR="00FA5B3B" w:rsidRDefault="00EF5CA6" w:rsidP="00FA5B3B">
      <w:pPr>
        <w:spacing w:before="100" w:beforeAutospacing="1" w:after="100" w:afterAutospacing="1"/>
      </w:pPr>
      <w:r>
        <w:t>Another question is related to PDU set QoS performance</w:t>
      </w:r>
      <w:r w:rsidR="00E27C58">
        <w:t xml:space="preserve"> monitoring</w:t>
      </w:r>
      <w:r w:rsidR="00FA5B3B">
        <w:t xml:space="preserve">. </w:t>
      </w:r>
      <w:r>
        <w:t>The question is excerpted.</w:t>
      </w:r>
    </w:p>
    <w:tbl>
      <w:tblPr>
        <w:tblStyle w:val="af5"/>
        <w:tblW w:w="0" w:type="auto"/>
        <w:tblLook w:val="04A0" w:firstRow="1" w:lastRow="0" w:firstColumn="1" w:lastColumn="0" w:noHBand="0" w:noVBand="1"/>
      </w:tblPr>
      <w:tblGrid>
        <w:gridCol w:w="9629"/>
      </w:tblGrid>
      <w:tr w:rsidR="00EF5CA6" w14:paraId="3A0CEB46" w14:textId="77777777" w:rsidTr="00EF5CA6">
        <w:tc>
          <w:tcPr>
            <w:tcW w:w="9629" w:type="dxa"/>
          </w:tcPr>
          <w:p w14:paraId="4A7D0A9C" w14:textId="08CF5EFE" w:rsidR="00EF5CA6" w:rsidRPr="00EF5CA6" w:rsidRDefault="00EF5CA6" w:rsidP="00EF5CA6">
            <w:pPr>
              <w:pStyle w:val="B1"/>
              <w:numPr>
                <w:ilvl w:val="0"/>
                <w:numId w:val="42"/>
              </w:numPr>
              <w:adjustRightInd/>
              <w:spacing w:before="100" w:beforeAutospacing="1" w:after="100" w:afterAutospacing="1"/>
              <w:ind w:left="357" w:hanging="357"/>
              <w:textAlignment w:val="auto"/>
              <w:rPr>
                <w:rFonts w:ascii="Arial" w:eastAsia="等线" w:hAnsi="Arial" w:cs="Arial"/>
              </w:rPr>
            </w:pPr>
            <w:r w:rsidRPr="00F25515">
              <w:rPr>
                <w:rFonts w:ascii="Arial" w:hAnsi="Arial" w:cs="Arial"/>
                <w:b/>
              </w:rPr>
              <w:t>Question6</w:t>
            </w:r>
            <w:r>
              <w:rPr>
                <w:rFonts w:ascii="Arial" w:hAnsi="Arial" w:cs="Arial"/>
                <w:b/>
              </w:rPr>
              <w:t xml:space="preserve"> </w:t>
            </w:r>
            <w:r w:rsidRPr="00F25515">
              <w:rPr>
                <w:rFonts w:ascii="Arial" w:hAnsi="Arial" w:cs="Arial"/>
                <w:b/>
              </w:rPr>
              <w:t>[for RAN2 and RAN3]:</w:t>
            </w:r>
            <w:r w:rsidRPr="00F25515">
              <w:rPr>
                <w:rFonts w:ascii="Arial" w:eastAsia="等线" w:hAnsi="Arial" w:cs="Arial"/>
              </w:rPr>
              <w:t xml:space="preserve"> In the attached S2-2405372, it introduces to</w:t>
            </w:r>
            <w:r>
              <w:rPr>
                <w:rFonts w:ascii="Arial" w:eastAsia="等线" w:hAnsi="Arial" w:cs="Arial"/>
              </w:rPr>
              <w:t xml:space="preserve"> measure and</w:t>
            </w:r>
            <w:r w:rsidRPr="00F25515">
              <w:rPr>
                <w:rFonts w:ascii="Arial" w:eastAsia="等线" w:hAnsi="Arial" w:cs="Arial"/>
              </w:rPr>
              <w:t xml:space="preserve"> expose the PDU Set QoS performance (i.e.</w:t>
            </w:r>
            <w:r>
              <w:rPr>
                <w:rFonts w:ascii="Arial" w:eastAsia="等线" w:hAnsi="Arial" w:cs="Arial"/>
              </w:rPr>
              <w:t>,</w:t>
            </w:r>
            <w:r w:rsidRPr="00F25515">
              <w:rPr>
                <w:rFonts w:ascii="Arial" w:eastAsia="等线" w:hAnsi="Arial" w:cs="Arial"/>
              </w:rPr>
              <w:t xml:space="preserve"> the PDU Set Delay and PDU Set Loss Rate) to the application </w:t>
            </w:r>
            <w:r>
              <w:rPr>
                <w:rFonts w:ascii="Arial" w:eastAsia="等线" w:hAnsi="Arial" w:cs="Arial"/>
              </w:rPr>
              <w:t>server</w:t>
            </w:r>
            <w:r w:rsidRPr="00F25515">
              <w:rPr>
                <w:rFonts w:ascii="Arial" w:eastAsia="等线" w:hAnsi="Arial" w:cs="Arial"/>
              </w:rPr>
              <w:t xml:space="preserve">, SA2 would like RAN2 and RAN3 to </w:t>
            </w:r>
            <w:r>
              <w:rPr>
                <w:rFonts w:ascii="Arial" w:eastAsia="等线" w:hAnsi="Arial" w:cs="Arial"/>
              </w:rPr>
              <w:t xml:space="preserve">provide </w:t>
            </w:r>
            <w:r w:rsidRPr="00F25515">
              <w:rPr>
                <w:rFonts w:ascii="Arial" w:eastAsia="等线" w:hAnsi="Arial" w:cs="Arial"/>
              </w:rPr>
              <w:t>feedback on the attached solution.</w:t>
            </w:r>
          </w:p>
        </w:tc>
      </w:tr>
    </w:tbl>
    <w:p w14:paraId="43A5A390" w14:textId="13D4E6AB" w:rsidR="00EF5CA6" w:rsidRDefault="003F634A" w:rsidP="00FA5B3B">
      <w:pPr>
        <w:spacing w:before="100" w:beforeAutospacing="1" w:after="100" w:afterAutospacing="1"/>
      </w:pPr>
      <w:r>
        <w:rPr>
          <w:rFonts w:hint="eastAsia"/>
        </w:rPr>
        <w:t>F</w:t>
      </w:r>
      <w:r>
        <w:t xml:space="preserve">irst of all, it is not clear why to expose the actual PDU set QoS performance to the APP. As long as the service </w:t>
      </w:r>
      <w:r w:rsidR="00DA761D">
        <w:t xml:space="preserve">is accepted with the corresponding QoS requirements, the service quality is promised by the network. </w:t>
      </w:r>
      <w:proofErr w:type="gramStart"/>
      <w:r w:rsidR="00DA761D">
        <w:t>Besides</w:t>
      </w:r>
      <w:r w:rsidR="00CB3EFE">
        <w:t xml:space="preserve"> </w:t>
      </w:r>
      <w:r w:rsidR="00DA761D">
        <w:t xml:space="preserve"> the</w:t>
      </w:r>
      <w:proofErr w:type="gramEnd"/>
      <w:r w:rsidR="00DA761D">
        <w:t xml:space="preserve"> delay and loss happened within the 3GPP network, the end-to-end performance is also impacted by the other transmission </w:t>
      </w:r>
      <w:r w:rsidR="00DA761D">
        <w:lastRenderedPageBreak/>
        <w:t xml:space="preserve">hops such as the IP network. What can be performed by the APP upon receiving the </w:t>
      </w:r>
      <w:r w:rsidR="00CB3EFE">
        <w:t xml:space="preserve">PDU set </w:t>
      </w:r>
      <w:r w:rsidR="00DA761D">
        <w:t>QoS measurement from NG-RAN</w:t>
      </w:r>
      <w:r w:rsidR="00DA761D">
        <w:rPr>
          <w:rFonts w:hint="eastAsia"/>
        </w:rPr>
        <w:t xml:space="preserve"> </w:t>
      </w:r>
      <w:r w:rsidR="00DA761D">
        <w:t>is unclear.</w:t>
      </w:r>
    </w:p>
    <w:p w14:paraId="1484F5E9" w14:textId="5F199C27" w:rsidR="00D24B03" w:rsidRPr="003C5557" w:rsidRDefault="00D24B03" w:rsidP="00FA5B3B">
      <w:pPr>
        <w:spacing w:before="100" w:beforeAutospacing="1" w:after="100" w:afterAutospacing="1"/>
        <w:rPr>
          <w:b/>
          <w:bCs/>
        </w:rPr>
      </w:pPr>
      <w:r w:rsidRPr="00ED5870">
        <w:rPr>
          <w:b/>
          <w:bCs/>
          <w:i/>
          <w:u w:val="single"/>
        </w:rPr>
        <w:t>Observation</w:t>
      </w:r>
      <w:r w:rsidR="00777ED4" w:rsidRPr="00ED5870">
        <w:rPr>
          <w:b/>
          <w:bCs/>
          <w:i/>
          <w:u w:val="single"/>
        </w:rPr>
        <w:t xml:space="preserve"> 1</w:t>
      </w:r>
      <w:r w:rsidRPr="00ED5870">
        <w:rPr>
          <w:b/>
          <w:bCs/>
          <w:i/>
          <w:u w:val="single"/>
        </w:rPr>
        <w:t>:</w:t>
      </w:r>
      <w:r w:rsidRPr="003C5557">
        <w:rPr>
          <w:b/>
          <w:bCs/>
        </w:rPr>
        <w:t xml:space="preserve"> It is not well justified why PDU set QoS performance exposure to APP is beneficial.</w:t>
      </w:r>
    </w:p>
    <w:p w14:paraId="69E01823" w14:textId="7658FAFF" w:rsidR="00DA761D" w:rsidRDefault="00E64BD0" w:rsidP="00FA5B3B">
      <w:pPr>
        <w:spacing w:before="100" w:beforeAutospacing="1" w:after="100" w:afterAutospacing="1"/>
      </w:pPr>
      <w:r>
        <w:rPr>
          <w:rFonts w:hint="eastAsia"/>
        </w:rPr>
        <w:t>M</w:t>
      </w:r>
      <w:r>
        <w:t xml:space="preserve">oreover, </w:t>
      </w:r>
      <w:r w:rsidR="00DE4429">
        <w:t>a</w:t>
      </w:r>
      <w:r w:rsidR="002C55F1">
        <w:t>lthough it is supported to measure and expose packet</w:t>
      </w:r>
      <w:r w:rsidR="00736BC3">
        <w:t xml:space="preserve"> delay curre</w:t>
      </w:r>
      <w:r w:rsidR="002C55F1">
        <w:t xml:space="preserve">ntly, the mechanism cannot </w:t>
      </w:r>
      <w:r w:rsidR="00736BC3">
        <w:t>be reuse</w:t>
      </w:r>
      <w:r w:rsidR="000014D5">
        <w:t>d for PDU set delay measurement. T</w:t>
      </w:r>
      <w:r w:rsidR="00187A39">
        <w:t>he packet delay comprises several parts, such as the delay in over-the-air interface, the delay in RLC layer and the delay PDCP layer, as specified in TS 38.314 [3]. For each part, the delay is measured using an average method</w:t>
      </w:r>
      <w:r w:rsidR="00914159">
        <w:t xml:space="preserve">. For example, for DL average delay over the air interface, the measurement is obtained by the following </w:t>
      </w:r>
      <w:r w:rsidR="00231864">
        <w:t xml:space="preserve">methods </w:t>
      </w:r>
      <w:r w:rsidR="00914159">
        <w:t>excepted from TS 28.552 [4].</w:t>
      </w:r>
    </w:p>
    <w:tbl>
      <w:tblPr>
        <w:tblStyle w:val="af5"/>
        <w:tblW w:w="0" w:type="auto"/>
        <w:tblLook w:val="04A0" w:firstRow="1" w:lastRow="0" w:firstColumn="1" w:lastColumn="0" w:noHBand="0" w:noVBand="1"/>
      </w:tblPr>
      <w:tblGrid>
        <w:gridCol w:w="9629"/>
      </w:tblGrid>
      <w:tr w:rsidR="00914159" w14:paraId="47F8AE56" w14:textId="77777777" w:rsidTr="00914159">
        <w:tc>
          <w:tcPr>
            <w:tcW w:w="9629" w:type="dxa"/>
          </w:tcPr>
          <w:p w14:paraId="53112785" w14:textId="77777777" w:rsidR="00914159" w:rsidRPr="00AC22D1" w:rsidRDefault="00914159" w:rsidP="00914159">
            <w:pPr>
              <w:pStyle w:val="5"/>
              <w:rPr>
                <w:color w:val="000000"/>
              </w:rPr>
            </w:pPr>
            <w:bookmarkStart w:id="6" w:name="_Toc20132210"/>
            <w:bookmarkStart w:id="7" w:name="_Toc27473245"/>
            <w:bookmarkStart w:id="8" w:name="_Toc35955899"/>
            <w:bookmarkStart w:id="9" w:name="_Toc44491863"/>
            <w:bookmarkStart w:id="10" w:name="_Toc51689790"/>
            <w:bookmarkStart w:id="11" w:name="_Toc51750464"/>
            <w:bookmarkStart w:id="12" w:name="_Toc51774724"/>
            <w:bookmarkStart w:id="13" w:name="_Toc51775338"/>
            <w:bookmarkStart w:id="14" w:name="_Toc51775954"/>
            <w:bookmarkStart w:id="15" w:name="_Toc58515337"/>
            <w:bookmarkStart w:id="16" w:name="_Toc16303778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t>Average</w:t>
            </w:r>
            <w:r w:rsidRPr="00AC22D1">
              <w:rPr>
                <w:color w:val="000000"/>
              </w:rPr>
              <w:t xml:space="preserve"> delay DL air-interface</w:t>
            </w:r>
            <w:bookmarkEnd w:id="6"/>
            <w:bookmarkEnd w:id="7"/>
            <w:bookmarkEnd w:id="8"/>
            <w:bookmarkEnd w:id="9"/>
            <w:bookmarkEnd w:id="10"/>
            <w:bookmarkEnd w:id="11"/>
            <w:bookmarkEnd w:id="12"/>
            <w:bookmarkEnd w:id="13"/>
            <w:bookmarkEnd w:id="14"/>
            <w:bookmarkEnd w:id="15"/>
            <w:bookmarkEnd w:id="16"/>
          </w:p>
          <w:p w14:paraId="5425F0D5" w14:textId="77777777" w:rsidR="00914159" w:rsidRPr="00AC22D1" w:rsidRDefault="00914159" w:rsidP="00914159">
            <w:pPr>
              <w:pStyle w:val="B1"/>
            </w:pPr>
            <w:r>
              <w:t>a)</w:t>
            </w:r>
            <w:r>
              <w:tab/>
            </w:r>
            <w:r w:rsidRPr="00AC22D1">
              <w:t xml:space="preserve">This measurement provides the average (arithmetic mean) time it takes </w:t>
            </w:r>
            <w:r>
              <w:t>for packet</w:t>
            </w:r>
            <w:r w:rsidRPr="00AC22D1">
              <w:t xml:space="preserve"> transmission </w:t>
            </w:r>
            <w:r>
              <w:t>over the air-interface</w:t>
            </w:r>
            <w:r w:rsidRPr="00F123DD">
              <w:t xml:space="preserve"> </w:t>
            </w:r>
            <w:r w:rsidRPr="00AC22D1">
              <w:t xml:space="preserve">in the downlink direction. The measurement is </w:t>
            </w:r>
            <w:r w:rsidRPr="000663B8">
              <w:t>calculated per PLMN ID and</w:t>
            </w:r>
            <w:r w:rsidRPr="00AC22D1">
              <w:t xml:space="preserve"> per QoS level (</w:t>
            </w:r>
            <w:r>
              <w:t xml:space="preserve">mapped </w:t>
            </w:r>
            <w:r w:rsidRPr="00AC22D1">
              <w:t>5QI or QCI in NR option 3)</w:t>
            </w:r>
            <w:r>
              <w:t xml:space="preserve"> and per</w:t>
            </w:r>
            <w:r w:rsidRPr="000663B8">
              <w:t xml:space="preserve"> supported</w:t>
            </w:r>
            <w:r>
              <w:t xml:space="preserve"> S-NSSAI</w:t>
            </w:r>
            <w:r w:rsidRPr="00AC22D1">
              <w:t>.</w:t>
            </w:r>
          </w:p>
          <w:p w14:paraId="4E94FB36" w14:textId="77777777" w:rsidR="00914159" w:rsidRPr="00AC22D1" w:rsidRDefault="00914159" w:rsidP="00914159">
            <w:pPr>
              <w:pStyle w:val="B1"/>
            </w:pPr>
            <w:r>
              <w:t>b)</w:t>
            </w:r>
            <w:r>
              <w:tab/>
            </w:r>
            <w:r w:rsidRPr="00AC22D1">
              <w:t>DER (n=1)</w:t>
            </w:r>
          </w:p>
          <w:p w14:paraId="030A94BC" w14:textId="049C8519" w:rsidR="00914159" w:rsidRPr="00914159" w:rsidRDefault="00914159" w:rsidP="00914159">
            <w:pPr>
              <w:pStyle w:val="B1"/>
            </w:pPr>
            <w:r>
              <w:t>c)</w:t>
            </w:r>
            <w:r>
              <w:tab/>
            </w:r>
            <w:r w:rsidRPr="00AC22D1">
              <w:t>This measurement is obtained as: sum of (</w:t>
            </w:r>
            <w:r>
              <w:t xml:space="preserve">point in </w:t>
            </w:r>
            <w:r w:rsidRPr="00AC22D1">
              <w:t xml:space="preserve">time when the last part of an RLC SDU packet </w:t>
            </w:r>
            <w:proofErr w:type="gramStart"/>
            <w:r w:rsidRPr="00AC22D1">
              <w:t xml:space="preserve">was  </w:t>
            </w:r>
            <w:r>
              <w:t>sent</w:t>
            </w:r>
            <w:proofErr w:type="gramEnd"/>
            <w:r>
              <w:t xml:space="preserve"> to</w:t>
            </w:r>
            <w:r w:rsidRPr="00AC22D1">
              <w:t xml:space="preserve"> the UE </w:t>
            </w:r>
            <w:r w:rsidRPr="007663A8">
              <w:t xml:space="preserve">which was consequently confirmed by reception of </w:t>
            </w:r>
            <w:r w:rsidRPr="00AC22D1">
              <w:t xml:space="preserve">HARQ </w:t>
            </w:r>
            <w:r>
              <w:t xml:space="preserve"> ACK from UE </w:t>
            </w:r>
            <w:r>
              <w:rPr>
                <w:rFonts w:hint="eastAsia"/>
                <w:lang w:val="en-US"/>
              </w:rPr>
              <w:t>for UM</w:t>
            </w:r>
            <w:r>
              <w:rPr>
                <w:lang w:val="en-US"/>
              </w:rPr>
              <w:t xml:space="preserve"> </w:t>
            </w:r>
            <w:r>
              <w:rPr>
                <w:rFonts w:hint="eastAsia"/>
                <w:lang w:val="en-US"/>
              </w:rPr>
              <w:t>mode or point</w:t>
            </w:r>
            <w:r>
              <w:rPr>
                <w:lang w:val="en-US"/>
              </w:rPr>
              <w:t xml:space="preserve"> </w:t>
            </w:r>
            <w:r>
              <w:rPr>
                <w:rFonts w:hint="eastAsia"/>
                <w:lang w:val="en-US"/>
              </w:rPr>
              <w:t>in</w:t>
            </w:r>
            <w:r>
              <w:rPr>
                <w:lang w:val="en-US"/>
              </w:rPr>
              <w:t xml:space="preserve"> </w:t>
            </w:r>
            <w:r>
              <w:rPr>
                <w:rFonts w:hint="eastAsia"/>
                <w:lang w:val="en-US"/>
              </w:rPr>
              <w:t xml:space="preserve">time </w:t>
            </w:r>
            <w:r>
              <w:rPr>
                <w:lang w:val="en-US"/>
              </w:rPr>
              <w:t>when</w:t>
            </w:r>
            <w:r>
              <w:rPr>
                <w:rFonts w:hint="eastAsia"/>
                <w:lang w:val="en-US"/>
              </w:rPr>
              <w:t xml:space="preserve"> </w:t>
            </w:r>
            <w:r w:rsidRPr="00AC22D1">
              <w:t xml:space="preserve">the last part of an </w:t>
            </w:r>
            <w:r>
              <w:rPr>
                <w:rFonts w:hint="eastAsia"/>
                <w:lang w:val="en-US"/>
              </w:rPr>
              <w:t xml:space="preserve">RLC SDU packet </w:t>
            </w:r>
            <w:r>
              <w:t xml:space="preserve">was </w:t>
            </w:r>
            <w:r>
              <w:rPr>
                <w:rFonts w:hint="eastAsia"/>
              </w:rPr>
              <w:t>sent</w:t>
            </w:r>
            <w:r>
              <w:t xml:space="preserve"> to the UE </w:t>
            </w:r>
            <w:r w:rsidRPr="007663A8">
              <w:t>which was consequently confirmed by reception of</w:t>
            </w:r>
            <w:r>
              <w:t xml:space="preserve"> </w:t>
            </w:r>
            <w:r>
              <w:rPr>
                <w:rFonts w:hint="eastAsia"/>
                <w:lang w:val="en-US"/>
              </w:rPr>
              <w:t>RLC ACK</w:t>
            </w:r>
            <w:r>
              <w:rPr>
                <w:lang w:val="en-US"/>
              </w:rPr>
              <w:t xml:space="preserve"> </w:t>
            </w:r>
            <w:r>
              <w:rPr>
                <w:rFonts w:hint="eastAsia"/>
                <w:lang w:val="en-US"/>
              </w:rPr>
              <w:t>for AM mode</w:t>
            </w:r>
            <w:r w:rsidRPr="00AC22D1">
              <w:t>, minus time when</w:t>
            </w:r>
            <w:r w:rsidRPr="00AC22D1">
              <w:rPr>
                <w:kern w:val="2"/>
              </w:rPr>
              <w:t xml:space="preserve"> </w:t>
            </w:r>
            <w:r>
              <w:t xml:space="preserve">corresponding </w:t>
            </w:r>
            <w:r w:rsidRPr="00DA0C3F">
              <w:t>RLC SDU</w:t>
            </w:r>
            <w:r w:rsidRPr="00F123DD">
              <w:t xml:space="preserve"> part</w:t>
            </w:r>
            <w:r w:rsidRPr="00DA0C3F">
              <w:t xml:space="preserve"> arriving at MAC </w:t>
            </w:r>
            <w:r w:rsidRPr="00F123DD">
              <w:t>layer</w:t>
            </w:r>
            <w:r w:rsidRPr="00AC22D1">
              <w:rPr>
                <w:kern w:val="2"/>
              </w:rPr>
              <w:t xml:space="preserve">) divided by </w:t>
            </w:r>
            <w:r w:rsidRPr="00AC22D1">
              <w:rPr>
                <w:rFonts w:cs="Arial"/>
                <w:kern w:val="2"/>
              </w:rPr>
              <w:t>total number of RLC SDUs</w:t>
            </w:r>
            <w:r w:rsidRPr="00AC22D1">
              <w:rPr>
                <w:rFonts w:eastAsia="MS Mincho"/>
              </w:rPr>
              <w:t xml:space="preserve"> </w:t>
            </w:r>
            <w:r>
              <w:rPr>
                <w:rFonts w:eastAsia="MS Mincho"/>
              </w:rPr>
              <w:t>transmitted to UE successfully.</w:t>
            </w:r>
            <w:r>
              <w:t xml:space="preserve"> </w:t>
            </w:r>
            <w:r w:rsidRPr="000663B8">
              <w:t xml:space="preserve"> The measurement is performed per PLMN ID and per QoS level (mapped 5QI or QCI in NR option 3) and per supported S-NSSAI.</w:t>
            </w:r>
          </w:p>
        </w:tc>
      </w:tr>
    </w:tbl>
    <w:p w14:paraId="7EC9458B" w14:textId="001D3022" w:rsidR="00914159" w:rsidRDefault="006A596D" w:rsidP="00FA5B3B">
      <w:pPr>
        <w:spacing w:before="100" w:beforeAutospacing="1" w:after="100" w:afterAutospacing="1"/>
      </w:pPr>
      <w:r>
        <w:rPr>
          <w:rFonts w:hint="eastAsia"/>
        </w:rPr>
        <w:t>I</w:t>
      </w:r>
      <w:r>
        <w:t>t can be seen that the delay is averaged among multiple packets. However, the definition of PDU set delay is the time period from when the first PDU is sent until the last PDU is received. To measure the PDU set delay, the network need</w:t>
      </w:r>
      <w:r w:rsidR="00D92834">
        <w:t>s</w:t>
      </w:r>
      <w:r>
        <w:t xml:space="preserve"> to mark the first and the last PDU of the PDU set, and some special operations shall be specified to obtain the time period. The existing measurement mechanism is insufficient.</w:t>
      </w:r>
    </w:p>
    <w:p w14:paraId="585C1405" w14:textId="00340C9D" w:rsidR="006A596D" w:rsidRDefault="006A596D" w:rsidP="00FA5B3B">
      <w:pPr>
        <w:spacing w:before="100" w:beforeAutospacing="1" w:after="100" w:afterAutospacing="1"/>
      </w:pPr>
      <w:r>
        <w:rPr>
          <w:rFonts w:hint="eastAsia"/>
        </w:rPr>
        <w:t>A</w:t>
      </w:r>
      <w:r>
        <w:t xml:space="preserve">s for the loss rate measurement and exposure, there was </w:t>
      </w:r>
      <w:r w:rsidR="009E3D97">
        <w:t xml:space="preserve">even </w:t>
      </w:r>
      <w:r>
        <w:t xml:space="preserve">no such </w:t>
      </w:r>
      <w:r w:rsidR="009E3D97">
        <w:t xml:space="preserve">definition </w:t>
      </w:r>
      <w:r w:rsidR="00845D9C">
        <w:t xml:space="preserve">for packet loss rate. </w:t>
      </w:r>
      <w:r w:rsidR="005835DE">
        <w:t xml:space="preserve">If it is required to measure and expose PDU set loss rate, </w:t>
      </w:r>
      <w:r w:rsidR="00F118E1">
        <w:t>there will be quite some workload for such definition</w:t>
      </w:r>
      <w:r w:rsidR="005835DE">
        <w:t>.</w:t>
      </w:r>
    </w:p>
    <w:p w14:paraId="6DC77D0B" w14:textId="2FEFB45D" w:rsidR="000459DE" w:rsidRPr="00485DAB" w:rsidRDefault="000459DE" w:rsidP="000459DE">
      <w:pPr>
        <w:spacing w:before="100" w:beforeAutospacing="1" w:after="100" w:afterAutospacing="1"/>
        <w:rPr>
          <w:b/>
          <w:bCs/>
        </w:rPr>
      </w:pPr>
      <w:r w:rsidRPr="00ED5870">
        <w:rPr>
          <w:b/>
          <w:bCs/>
          <w:i/>
          <w:u w:val="single"/>
        </w:rPr>
        <w:t>Observation</w:t>
      </w:r>
      <w:r w:rsidR="00777ED4" w:rsidRPr="00ED5870">
        <w:rPr>
          <w:b/>
          <w:bCs/>
          <w:i/>
          <w:u w:val="single"/>
        </w:rPr>
        <w:t xml:space="preserve"> 2</w:t>
      </w:r>
      <w:r w:rsidRPr="00ED5870">
        <w:rPr>
          <w:b/>
          <w:bCs/>
          <w:i/>
          <w:u w:val="single"/>
        </w:rPr>
        <w:t>:</w:t>
      </w:r>
      <w:r w:rsidRPr="00485DAB">
        <w:rPr>
          <w:b/>
          <w:bCs/>
        </w:rPr>
        <w:t xml:space="preserve"> The current mechanism for delay measurement cannot be reuse</w:t>
      </w:r>
      <w:r w:rsidR="00777ED4">
        <w:rPr>
          <w:b/>
          <w:bCs/>
        </w:rPr>
        <w:t>d</w:t>
      </w:r>
      <w:r w:rsidRPr="00485DAB">
        <w:rPr>
          <w:b/>
          <w:bCs/>
        </w:rPr>
        <w:t xml:space="preserve"> for PDU set QoS measurement.</w:t>
      </w:r>
    </w:p>
    <w:p w14:paraId="586870F6" w14:textId="1C136D73" w:rsidR="005835DE" w:rsidRDefault="005835DE" w:rsidP="00FA5B3B">
      <w:pPr>
        <w:spacing w:before="100" w:beforeAutospacing="1" w:after="100" w:afterAutospacing="1"/>
      </w:pPr>
      <w:r>
        <w:t>Another obstacle is that the PDU set information is not visible to the NG-RAN node for UL. As agreed in R18</w:t>
      </w:r>
      <w:r>
        <w:rPr>
          <w:rFonts w:hint="eastAsia"/>
        </w:rPr>
        <w:t>,</w:t>
      </w:r>
      <w:r>
        <w:t xml:space="preserve"> there is no in-band marking over the air interface for XR, so that the NG-RAN node is not aware of the PDU set boundaries for UL data. Without the visibility, it is impossible for the NG-RAN node to </w:t>
      </w:r>
      <w:r w:rsidR="007C1C83">
        <w:t>measure the PDU set delay or loss. Some UE enhancements may be needed to support such measurement, which is complex from RAN perspective.</w:t>
      </w:r>
    </w:p>
    <w:p w14:paraId="5617BEBE" w14:textId="52EB3A86" w:rsidR="000459DE" w:rsidRPr="00485DAB" w:rsidRDefault="00485DAB" w:rsidP="00FA5B3B">
      <w:pPr>
        <w:spacing w:before="100" w:beforeAutospacing="1" w:after="100" w:afterAutospacing="1"/>
        <w:rPr>
          <w:b/>
          <w:bCs/>
        </w:rPr>
      </w:pPr>
      <w:r w:rsidRPr="00ED5870">
        <w:rPr>
          <w:b/>
          <w:bCs/>
          <w:i/>
          <w:u w:val="single"/>
        </w:rPr>
        <w:t>Observation</w:t>
      </w:r>
      <w:r w:rsidR="00777ED4" w:rsidRPr="00ED5870">
        <w:rPr>
          <w:b/>
          <w:bCs/>
          <w:i/>
          <w:u w:val="single"/>
        </w:rPr>
        <w:t xml:space="preserve"> 3</w:t>
      </w:r>
      <w:r w:rsidR="000459DE" w:rsidRPr="00ED5870">
        <w:rPr>
          <w:b/>
          <w:bCs/>
          <w:i/>
          <w:u w:val="single"/>
        </w:rPr>
        <w:t>:</w:t>
      </w:r>
      <w:r w:rsidR="000459DE" w:rsidRPr="00485DAB">
        <w:rPr>
          <w:b/>
          <w:bCs/>
        </w:rPr>
        <w:t xml:space="preserve"> PDU set QoS measurement cannot be performed in the uplink.</w:t>
      </w:r>
    </w:p>
    <w:p w14:paraId="305A93A5" w14:textId="191502C3" w:rsidR="007C1C83" w:rsidRDefault="007C1C83" w:rsidP="00FA5B3B">
      <w:pPr>
        <w:spacing w:before="100" w:beforeAutospacing="1" w:after="100" w:afterAutospacing="1"/>
      </w:pPr>
      <w:r>
        <w:t xml:space="preserve">Upon the above analysis, we think it is not expected to support PDU set QoS performance measurement and exposure at NG-RAN. It will cause much specification impacts while the benefit is not clear yet. </w:t>
      </w:r>
    </w:p>
    <w:p w14:paraId="2E966F22" w14:textId="624889A2" w:rsidR="00DE4429" w:rsidRDefault="007C1C83" w:rsidP="00FA5B3B">
      <w:pPr>
        <w:spacing w:before="100" w:beforeAutospacing="1" w:after="100" w:afterAutospacing="1"/>
        <w:rPr>
          <w:b/>
        </w:rPr>
      </w:pPr>
      <w:r w:rsidRPr="007C1C83">
        <w:rPr>
          <w:b/>
          <w:i/>
          <w:u w:val="single"/>
        </w:rPr>
        <w:t>Proposal 4:</w:t>
      </w:r>
      <w:r w:rsidRPr="007C1C83">
        <w:rPr>
          <w:b/>
        </w:rPr>
        <w:t xml:space="preserve"> RAN2 to reply to SA2 that </w:t>
      </w:r>
    </w:p>
    <w:p w14:paraId="47B4EEC8" w14:textId="77777777" w:rsidR="00DE4429" w:rsidRPr="00ED5870" w:rsidRDefault="00DE4429" w:rsidP="00DE4429">
      <w:pPr>
        <w:pStyle w:val="af1"/>
        <w:numPr>
          <w:ilvl w:val="0"/>
          <w:numId w:val="46"/>
        </w:numPr>
        <w:spacing w:before="100" w:beforeAutospacing="1" w:after="100" w:afterAutospacing="1"/>
        <w:rPr>
          <w:rFonts w:ascii="Times New Roman" w:hAnsi="Times New Roman" w:cs="Times New Roman"/>
          <w:b/>
          <w:sz w:val="20"/>
          <w:szCs w:val="20"/>
          <w:lang w:val="en-GB"/>
        </w:rPr>
      </w:pPr>
      <w:r w:rsidRPr="00ED5870">
        <w:rPr>
          <w:rFonts w:ascii="Times New Roman" w:hAnsi="Times New Roman" w:cs="Times New Roman"/>
          <w:b/>
          <w:sz w:val="20"/>
          <w:szCs w:val="20"/>
          <w:lang w:val="en-GB"/>
        </w:rPr>
        <w:t>RAN2 would ask SA2 to further confirm on the benefits of PDU set QoS performance exposure to APP</w:t>
      </w:r>
    </w:p>
    <w:p w14:paraId="73DF9D7F" w14:textId="4142A6B5" w:rsidR="007C1C83" w:rsidRPr="00ED5870" w:rsidRDefault="00DE4429" w:rsidP="00DE4429">
      <w:pPr>
        <w:pStyle w:val="af1"/>
        <w:numPr>
          <w:ilvl w:val="0"/>
          <w:numId w:val="46"/>
        </w:numPr>
        <w:spacing w:before="100" w:beforeAutospacing="1" w:after="100" w:afterAutospacing="1"/>
        <w:rPr>
          <w:rFonts w:ascii="Times New Roman" w:hAnsi="Times New Roman" w:cs="Times New Roman"/>
          <w:b/>
          <w:sz w:val="20"/>
          <w:szCs w:val="20"/>
          <w:lang w:val="en-GB"/>
        </w:rPr>
      </w:pPr>
      <w:r w:rsidRPr="00ED5870">
        <w:rPr>
          <w:rFonts w:ascii="Times New Roman" w:hAnsi="Times New Roman" w:cs="Times New Roman"/>
          <w:b/>
          <w:sz w:val="20"/>
          <w:szCs w:val="20"/>
          <w:lang w:val="en-GB"/>
        </w:rPr>
        <w:t>RAN2 expresses the concern that (a) current RAN2 mechanism cannot be reuse</w:t>
      </w:r>
      <w:r w:rsidR="00170C84">
        <w:rPr>
          <w:rFonts w:ascii="Times New Roman" w:hAnsi="Times New Roman" w:cs="Times New Roman"/>
          <w:b/>
          <w:sz w:val="20"/>
          <w:szCs w:val="20"/>
          <w:lang w:val="en-GB"/>
        </w:rPr>
        <w:t>d</w:t>
      </w:r>
      <w:r w:rsidRPr="00ED5870">
        <w:rPr>
          <w:rFonts w:ascii="Times New Roman" w:hAnsi="Times New Roman" w:cs="Times New Roman"/>
          <w:b/>
          <w:sz w:val="20"/>
          <w:szCs w:val="20"/>
          <w:lang w:val="en-GB"/>
        </w:rPr>
        <w:t xml:space="preserve"> for PDU set QoS performance exposure to APP; (b) it is not possible to expose PDU set QoS performance in the UL data transmission</w:t>
      </w:r>
      <w:r w:rsidR="008161E6">
        <w:rPr>
          <w:rFonts w:ascii="Times New Roman" w:hAnsi="Times New Roman" w:cs="Times New Roman"/>
          <w:b/>
          <w:sz w:val="20"/>
          <w:szCs w:val="20"/>
          <w:lang w:val="en-GB"/>
        </w:rPr>
        <w:t xml:space="preserve"> Such mechanism is very complex and would require long and complex discussion in RAN2.</w:t>
      </w:r>
    </w:p>
    <w:p w14:paraId="6155073E" w14:textId="5428C98E" w:rsidR="00430DEC" w:rsidRDefault="00430DEC" w:rsidP="00430DEC">
      <w:pPr>
        <w:pStyle w:val="20"/>
      </w:pPr>
      <w:r>
        <w:rPr>
          <w:rFonts w:hint="eastAsia"/>
        </w:rPr>
        <w:t>2</w:t>
      </w:r>
      <w:r>
        <w:t xml:space="preserve">.2 </w:t>
      </w:r>
      <w:r w:rsidR="001A03CD">
        <w:t>Discussion on S2-2405604</w:t>
      </w:r>
    </w:p>
    <w:p w14:paraId="6F9565A1" w14:textId="14C950DB" w:rsidR="0077335E" w:rsidRDefault="00A907C3" w:rsidP="0077335E">
      <w:pPr>
        <w:spacing w:before="100" w:beforeAutospacing="1" w:after="100" w:afterAutospacing="1"/>
      </w:pPr>
      <w:r>
        <w:t xml:space="preserve">Several questions related to the application layer FEC were asked in S2-2405604 [5]. </w:t>
      </w:r>
    </w:p>
    <w:tbl>
      <w:tblPr>
        <w:tblStyle w:val="af5"/>
        <w:tblW w:w="0" w:type="auto"/>
        <w:tblLook w:val="04A0" w:firstRow="1" w:lastRow="0" w:firstColumn="1" w:lastColumn="0" w:noHBand="0" w:noVBand="1"/>
      </w:tblPr>
      <w:tblGrid>
        <w:gridCol w:w="9629"/>
      </w:tblGrid>
      <w:tr w:rsidR="00A907C3" w14:paraId="42692526" w14:textId="77777777" w:rsidTr="00A907C3">
        <w:tc>
          <w:tcPr>
            <w:tcW w:w="9629" w:type="dxa"/>
          </w:tcPr>
          <w:p w14:paraId="1EE7EC83" w14:textId="4981AC4D" w:rsidR="00A907C3" w:rsidRPr="00A907C3" w:rsidRDefault="00A907C3" w:rsidP="00A907C3">
            <w:pPr>
              <w:numPr>
                <w:ilvl w:val="0"/>
                <w:numId w:val="44"/>
              </w:numPr>
              <w:overflowPunct/>
              <w:autoSpaceDE/>
              <w:autoSpaceDN/>
              <w:adjustRightInd/>
              <w:spacing w:before="100" w:beforeAutospacing="1" w:after="100" w:afterAutospacing="1"/>
              <w:ind w:left="714" w:hanging="357"/>
              <w:jc w:val="both"/>
              <w:textAlignment w:val="auto"/>
            </w:pPr>
            <w:r w:rsidRPr="5189790A">
              <w:rPr>
                <w:rFonts w:ascii="Arial" w:hAnsi="Arial" w:cs="Arial"/>
              </w:rPr>
              <w:t>Can NG-RAN determine whether a PDU was successfully delivered over an unacknowledged mode data bearer? If so, does NG-RAN get this information sufficiently early to decide whether or not to drop subsequent AL-FEC packets?</w:t>
            </w:r>
          </w:p>
        </w:tc>
      </w:tr>
    </w:tbl>
    <w:p w14:paraId="3EB9B480" w14:textId="0A2FAD64" w:rsidR="00C05656" w:rsidRDefault="00A907C3" w:rsidP="0077335E">
      <w:pPr>
        <w:spacing w:before="100" w:beforeAutospacing="1" w:after="100" w:afterAutospacing="1"/>
      </w:pPr>
      <w:r>
        <w:rPr>
          <w:rFonts w:hint="eastAsia"/>
        </w:rPr>
        <w:lastRenderedPageBreak/>
        <w:t>T</w:t>
      </w:r>
      <w:r>
        <w:t>he above question wonders whether NG-RAN can determine the successful or failed delivery of a PDU for UM bearers. Upon the determination of successful delivery of enough PDUs, NG-RAN</w:t>
      </w:r>
      <w:r w:rsidR="00485DAB">
        <w:t>/UE</w:t>
      </w:r>
      <w:r>
        <w:t xml:space="preserve"> can discard the subsequent FEC packets to save the</w:t>
      </w:r>
      <w:r w:rsidR="00C05656">
        <w:t xml:space="preserve"> resource.</w:t>
      </w:r>
      <w:r w:rsidR="00C05656">
        <w:rPr>
          <w:rFonts w:hint="eastAsia"/>
        </w:rPr>
        <w:t xml:space="preserve"> </w:t>
      </w:r>
      <w:r w:rsidR="00485DAB">
        <w:t>We think the discussion should be carried out in the UL and DL separately.</w:t>
      </w:r>
    </w:p>
    <w:p w14:paraId="20F91EF6" w14:textId="3028F877" w:rsidR="00143F91" w:rsidRPr="00A278DC" w:rsidRDefault="00FA5FC7" w:rsidP="0077335E">
      <w:pPr>
        <w:spacing w:before="100" w:beforeAutospacing="1" w:after="100" w:afterAutospacing="1"/>
      </w:pPr>
      <w:r>
        <w:t>First, for the DL transmission</w:t>
      </w:r>
      <w:r w:rsidR="00C05656">
        <w:t>, this is feasible for</w:t>
      </w:r>
      <w:r w:rsidR="00BD6627">
        <w:t xml:space="preserve"> the </w:t>
      </w:r>
      <w:proofErr w:type="spellStart"/>
      <w:r w:rsidR="00BD6627">
        <w:t>gNB</w:t>
      </w:r>
      <w:proofErr w:type="spellEnd"/>
      <w:r w:rsidR="00BD6627">
        <w:t xml:space="preserve"> to determine whether a PDU is sent successfully in UM</w:t>
      </w:r>
      <w:r w:rsidR="00C05656">
        <w:t>.</w:t>
      </w:r>
      <w:r w:rsidR="004A4BF9">
        <w:t xml:space="preserve"> T</w:t>
      </w:r>
      <w:r w:rsidR="00C05656">
        <w:t xml:space="preserve">he NG-RAN node can know whether the PDU is successfully transmitted according to HARQ feedback. This can be left to the NW implementation and there is no specification impact. </w:t>
      </w:r>
      <w:r w:rsidR="00A278DC">
        <w:t xml:space="preserve">However, there </w:t>
      </w:r>
      <w:r w:rsidR="000D3A9B">
        <w:t>is a low probability</w:t>
      </w:r>
      <w:r w:rsidR="00A278DC">
        <w:t xml:space="preserve"> that the HARQ feedback is wrongly detected at the </w:t>
      </w:r>
      <w:proofErr w:type="spellStart"/>
      <w:r w:rsidR="00A278DC">
        <w:t>gNB</w:t>
      </w:r>
      <w:proofErr w:type="spellEnd"/>
      <w:r w:rsidR="000D3A9B">
        <w:t xml:space="preserve">, which would make the </w:t>
      </w:r>
      <w:proofErr w:type="spellStart"/>
      <w:r w:rsidR="000D3A9B">
        <w:t>gNB</w:t>
      </w:r>
      <w:proofErr w:type="spellEnd"/>
      <w:r w:rsidR="000D3A9B">
        <w:t xml:space="preserve"> wrongly determine the transmission status of the PDU. </w:t>
      </w:r>
    </w:p>
    <w:p w14:paraId="307587E1" w14:textId="1B0D083B" w:rsidR="00A907C3" w:rsidRDefault="00C05656" w:rsidP="0077335E">
      <w:pPr>
        <w:spacing w:before="100" w:beforeAutospacing="1" w:after="100" w:afterAutospacing="1"/>
      </w:pPr>
      <w:r>
        <w:t xml:space="preserve">The information can be obtained within </w:t>
      </w:r>
      <w:r w:rsidR="00143F91">
        <w:t xml:space="preserve">several times of </w:t>
      </w:r>
      <w:r>
        <w:t>HARQ RTT time</w:t>
      </w:r>
      <w:r w:rsidR="00143F91">
        <w:t xml:space="preserve">. </w:t>
      </w:r>
      <w:r w:rsidR="00A00DAC">
        <w:t xml:space="preserve">If the PDU is successfully delivered upon the initial transmission, it can be acknowledged after the HARQ time, which usually takes several milliseconds. Otherwise, </w:t>
      </w:r>
      <w:r w:rsidR="00356E19">
        <w:t xml:space="preserve">if the PDU is not successfully transmitted to the UE, the </w:t>
      </w:r>
      <w:proofErr w:type="spellStart"/>
      <w:r w:rsidR="00356E19">
        <w:t>gNB</w:t>
      </w:r>
      <w:proofErr w:type="spellEnd"/>
      <w:r w:rsidR="00356E19">
        <w:t xml:space="preserve"> can only detect the failure after </w:t>
      </w:r>
      <w:r w:rsidR="00285EDE">
        <w:t xml:space="preserve">all </w:t>
      </w:r>
      <w:r w:rsidR="00356E19">
        <w:t>the HARQ retransmissions are finished, which may take tens of milliseconds.</w:t>
      </w:r>
    </w:p>
    <w:p w14:paraId="7AB49A6A" w14:textId="7DF504F7" w:rsidR="00233FC1" w:rsidRDefault="00CD308F" w:rsidP="0077335E">
      <w:pPr>
        <w:spacing w:before="100" w:beforeAutospacing="1" w:after="100" w:afterAutospacing="1"/>
      </w:pPr>
      <w:r>
        <w:t>It is not sure whether the information is early enough to decide the discarding for the subsequent PDUs</w:t>
      </w:r>
      <w:r w:rsidR="00A278DC">
        <w:t xml:space="preserve">. Considering the PSDB, the subsequent FEC PDUs within the same PDU set may be transmitted before the </w:t>
      </w:r>
      <w:proofErr w:type="spellStart"/>
      <w:r w:rsidR="00A278DC">
        <w:t>gNB</w:t>
      </w:r>
      <w:proofErr w:type="spellEnd"/>
      <w:r w:rsidR="00A278DC">
        <w:t xml:space="preserve"> determines whether the former PDU is delivered successfully or not, especially when there are HARQ retransmissions for the former PDU. In this case, t</w:t>
      </w:r>
      <w:r w:rsidR="00C909E2">
        <w:t>here is no opportunity to discard the subsequent PDUs</w:t>
      </w:r>
      <w:r w:rsidR="00233FC1">
        <w:t>.</w:t>
      </w:r>
    </w:p>
    <w:p w14:paraId="49B5F104" w14:textId="67F89E6A" w:rsidR="00A278DC" w:rsidRDefault="002D1EA3" w:rsidP="0077335E">
      <w:pPr>
        <w:spacing w:before="100" w:beforeAutospacing="1" w:after="100" w:afterAutospacing="1"/>
      </w:pPr>
      <w:r>
        <w:t>Based on the above discussion, we think RAN2 should provide the detailed analysis to SA2 for further consideration.</w:t>
      </w:r>
    </w:p>
    <w:p w14:paraId="33186A9F" w14:textId="40EEDEB9" w:rsidR="007A420D" w:rsidRPr="007A420D" w:rsidRDefault="007A420D" w:rsidP="0077335E">
      <w:pPr>
        <w:spacing w:before="100" w:beforeAutospacing="1" w:after="100" w:afterAutospacing="1"/>
        <w:rPr>
          <w:b/>
        </w:rPr>
      </w:pPr>
      <w:r w:rsidRPr="007A420D">
        <w:rPr>
          <w:b/>
          <w:i/>
          <w:u w:val="single"/>
        </w:rPr>
        <w:t>Proposal 5:</w:t>
      </w:r>
      <w:r w:rsidRPr="007A420D">
        <w:rPr>
          <w:b/>
        </w:rPr>
        <w:t xml:space="preserve"> RAN2 to reply to SA2 that</w:t>
      </w:r>
      <w:r w:rsidR="000E50EA">
        <w:rPr>
          <w:b/>
        </w:rPr>
        <w:t>, for DL PDU transmission,</w:t>
      </w:r>
      <w:r w:rsidRPr="007A420D">
        <w:rPr>
          <w:b/>
        </w:rPr>
        <w:t xml:space="preserve"> NG-RAN can determine whether a PDU was successfully delivered over an </w:t>
      </w:r>
      <w:r w:rsidR="00C628C2">
        <w:rPr>
          <w:b/>
        </w:rPr>
        <w:t>UM DRB</w:t>
      </w:r>
      <w:r w:rsidR="00A93B3E">
        <w:rPr>
          <w:b/>
        </w:rPr>
        <w:t xml:space="preserve">. The NG-RAN can get this information </w:t>
      </w:r>
      <w:r w:rsidR="008161E6">
        <w:rPr>
          <w:b/>
        </w:rPr>
        <w:t>within multiple RTT</w:t>
      </w:r>
      <w:r w:rsidR="00245D64">
        <w:rPr>
          <w:b/>
        </w:rPr>
        <w:t>s</w:t>
      </w:r>
      <w:r w:rsidR="00272833">
        <w:rPr>
          <w:b/>
        </w:rPr>
        <w:t xml:space="preserve"> depending on the network implementation</w:t>
      </w:r>
    </w:p>
    <w:p w14:paraId="09762048" w14:textId="77777777" w:rsidR="00B61CD3" w:rsidRDefault="00B61CD3" w:rsidP="0077335E">
      <w:pPr>
        <w:spacing w:before="100" w:beforeAutospacing="1" w:after="100" w:afterAutospacing="1"/>
        <w:rPr>
          <w:b/>
          <w:i/>
          <w:u w:val="single"/>
        </w:rPr>
      </w:pPr>
    </w:p>
    <w:p w14:paraId="13C10D7D" w14:textId="5EB08EEA" w:rsidR="00B61CD3" w:rsidRDefault="00B61CD3" w:rsidP="00B61CD3">
      <w:pPr>
        <w:spacing w:before="100" w:beforeAutospacing="1" w:after="100" w:afterAutospacing="1"/>
      </w:pPr>
      <w:r>
        <w:t>While fo</w:t>
      </w:r>
      <w:r>
        <w:rPr>
          <w:rFonts w:hint="eastAsia"/>
        </w:rPr>
        <w:t>r</w:t>
      </w:r>
      <w:r>
        <w:t xml:space="preserve"> UL, it </w:t>
      </w:r>
      <w:r w:rsidR="00B85D2E">
        <w:t>is</w:t>
      </w:r>
      <w:r>
        <w:t xml:space="preserve"> </w:t>
      </w:r>
      <w:r w:rsidR="00103CAA">
        <w:t>not feasible</w:t>
      </w:r>
      <w:r>
        <w:t xml:space="preserve"> for the NG-RAN node to know the transmission status of a PDU for UM bearers since the NG-RAN node is the receiving side.</w:t>
      </w:r>
      <w:r w:rsidR="00085845">
        <w:t xml:space="preserve"> </w:t>
      </w:r>
      <w:r w:rsidR="00AE089F">
        <w:t>There is also no HARQ feedback for UL, which means the UE cannot know the transmission status neither. As a possible implementation</w:t>
      </w:r>
      <w:r w:rsidR="00085845">
        <w:t xml:space="preserve">, the UE </w:t>
      </w:r>
      <w:r w:rsidR="00B85D2E">
        <w:t>may</w:t>
      </w:r>
      <w:r w:rsidR="00085845">
        <w:t xml:space="preserve"> </w:t>
      </w:r>
      <w:r w:rsidR="00AE089F">
        <w:t>derive</w:t>
      </w:r>
      <w:r w:rsidR="00085845">
        <w:t xml:space="preserve"> whether a PDU is successfully transmitted by the reception of new UL transmission for both CG and DG</w:t>
      </w:r>
      <w:r w:rsidR="00AE089F">
        <w:t>.</w:t>
      </w:r>
      <w:r>
        <w:t xml:space="preserve"> </w:t>
      </w:r>
      <w:r w:rsidR="00B85D2E">
        <w:t xml:space="preserve">However, </w:t>
      </w:r>
      <w:r w:rsidR="00250E44">
        <w:t xml:space="preserve">such derivation is inaccurate and can be very slow since it is uncertain how long after the transmission the </w:t>
      </w:r>
      <w:proofErr w:type="spellStart"/>
      <w:r w:rsidR="00250E44">
        <w:t>gNB</w:t>
      </w:r>
      <w:proofErr w:type="spellEnd"/>
      <w:r w:rsidR="00250E44">
        <w:t xml:space="preserve"> will schedule the new transmission. I</w:t>
      </w:r>
      <w:r w:rsidR="00B85D2E">
        <w:t>t is difficult</w:t>
      </w:r>
      <w:r w:rsidR="00103CAA">
        <w:t xml:space="preserve"> for the UE to utilize the information for discarding the subsequent FEC packets.</w:t>
      </w:r>
    </w:p>
    <w:p w14:paraId="1A791886" w14:textId="366786FE" w:rsidR="00C628C2" w:rsidRPr="008B578F" w:rsidRDefault="00C628C2" w:rsidP="00B61CD3">
      <w:pPr>
        <w:spacing w:before="100" w:beforeAutospacing="1" w:after="100" w:afterAutospacing="1"/>
        <w:rPr>
          <w:b/>
          <w:bCs/>
        </w:rPr>
      </w:pPr>
      <w:r w:rsidRPr="008B578F">
        <w:rPr>
          <w:b/>
          <w:bCs/>
          <w:i/>
          <w:iCs/>
          <w:u w:val="single"/>
        </w:rPr>
        <w:t>Proposal</w:t>
      </w:r>
      <w:r w:rsidR="009F1B44">
        <w:rPr>
          <w:b/>
          <w:bCs/>
          <w:i/>
          <w:iCs/>
          <w:u w:val="single"/>
        </w:rPr>
        <w:t xml:space="preserve"> 6</w:t>
      </w:r>
      <w:r w:rsidRPr="008B578F">
        <w:rPr>
          <w:b/>
          <w:bCs/>
        </w:rPr>
        <w:t xml:space="preserve">: RAN2 to reply to SA2 that, for </w:t>
      </w:r>
      <w:r w:rsidR="00B85D2E">
        <w:rPr>
          <w:b/>
          <w:bCs/>
        </w:rPr>
        <w:t>UL</w:t>
      </w:r>
      <w:r w:rsidRPr="008B578F">
        <w:rPr>
          <w:b/>
          <w:bCs/>
        </w:rPr>
        <w:t xml:space="preserve"> PDU transmission, NG-RAN cannot determine whether a PDU was successfully delivered over an UM DRB</w:t>
      </w:r>
      <w:r w:rsidR="00724195" w:rsidRPr="008B578F">
        <w:rPr>
          <w:b/>
          <w:bCs/>
        </w:rPr>
        <w:t>.</w:t>
      </w:r>
    </w:p>
    <w:p w14:paraId="6B7E75F3" w14:textId="301890FC" w:rsidR="007A420D" w:rsidRDefault="007A420D" w:rsidP="0077335E">
      <w:pPr>
        <w:spacing w:before="100" w:beforeAutospacing="1" w:after="100" w:afterAutospacing="1"/>
      </w:pPr>
      <w:r>
        <w:rPr>
          <w:rFonts w:hint="eastAsia"/>
        </w:rPr>
        <w:t>T</w:t>
      </w:r>
      <w:r>
        <w:t>he next question is about how the FEC redundancy information is provided to RAN:</w:t>
      </w:r>
    </w:p>
    <w:tbl>
      <w:tblPr>
        <w:tblStyle w:val="af5"/>
        <w:tblW w:w="0" w:type="auto"/>
        <w:tblLook w:val="04A0" w:firstRow="1" w:lastRow="0" w:firstColumn="1" w:lastColumn="0" w:noHBand="0" w:noVBand="1"/>
      </w:tblPr>
      <w:tblGrid>
        <w:gridCol w:w="9629"/>
      </w:tblGrid>
      <w:tr w:rsidR="007A420D" w14:paraId="75844007" w14:textId="77777777" w:rsidTr="007A420D">
        <w:tc>
          <w:tcPr>
            <w:tcW w:w="9629" w:type="dxa"/>
          </w:tcPr>
          <w:p w14:paraId="33F5BDEF" w14:textId="640FC1C5" w:rsidR="007A420D" w:rsidRPr="007A420D" w:rsidRDefault="007A420D" w:rsidP="007A420D">
            <w:pPr>
              <w:numPr>
                <w:ilvl w:val="0"/>
                <w:numId w:val="44"/>
              </w:numPr>
              <w:overflowPunct/>
              <w:autoSpaceDE/>
              <w:autoSpaceDN/>
              <w:adjustRightInd/>
              <w:spacing w:before="100" w:beforeAutospacing="1" w:after="100" w:afterAutospacing="1"/>
              <w:ind w:left="714" w:hanging="357"/>
              <w:jc w:val="both"/>
              <w:textAlignment w:val="auto"/>
              <w:rPr>
                <w:rFonts w:ascii="Arial" w:hAnsi="Arial" w:cs="Arial"/>
              </w:rPr>
            </w:pPr>
            <w:r>
              <w:rPr>
                <w:rFonts w:ascii="Arial" w:hAnsi="Arial" w:cs="Arial"/>
              </w:rPr>
              <w:t xml:space="preserve">Provide feedback on the impact on NG-RAN to support dynamic redundancy ratios, i.e., a different ratio of PDUs that need to be </w:t>
            </w:r>
            <w:r w:rsidRPr="00E7009A">
              <w:rPr>
                <w:rFonts w:ascii="Arial" w:hAnsi="Arial" w:cs="Arial"/>
              </w:rPr>
              <w:t>successfully transferred to the UE</w:t>
            </w:r>
            <w:r>
              <w:rPr>
                <w:rFonts w:ascii="Arial" w:hAnsi="Arial" w:cs="Arial"/>
              </w:rPr>
              <w:t xml:space="preserve"> for different PDU Sets within the same QoS flow?</w:t>
            </w:r>
          </w:p>
        </w:tc>
      </w:tr>
    </w:tbl>
    <w:p w14:paraId="397EEBD0" w14:textId="0BDD16C8" w:rsidR="007A420D" w:rsidRDefault="00332573" w:rsidP="0077335E">
      <w:pPr>
        <w:spacing w:before="100" w:beforeAutospacing="1" w:after="100" w:afterAutospacing="1"/>
      </w:pPr>
      <w:r>
        <w:t xml:space="preserve">According to the question, it is possible that the redundancy ratio is dynamic per PDU set, and it may be provided to NG-RAN dynamically, e.g., via the GTP-U header. In our opinion, there is no big difference on whether the ratio is provided semi-statically or dynamically since the FEC based handling is anyway performed separately for each PDU set. No matter whether the ratios for different PDU sets are the same or not, </w:t>
      </w:r>
      <w:r w:rsidR="000404A8">
        <w:t>the basic solution should be the same.</w:t>
      </w:r>
    </w:p>
    <w:p w14:paraId="02CF5AC4" w14:textId="5E017A1A" w:rsidR="00C93F49" w:rsidRPr="00C93F49" w:rsidRDefault="00C93F49" w:rsidP="0077335E">
      <w:pPr>
        <w:spacing w:before="100" w:beforeAutospacing="1" w:after="100" w:afterAutospacing="1"/>
        <w:rPr>
          <w:b/>
        </w:rPr>
      </w:pPr>
      <w:r w:rsidRPr="00C93F49">
        <w:rPr>
          <w:b/>
          <w:i/>
          <w:u w:val="single"/>
        </w:rPr>
        <w:t>Proposal 7:</w:t>
      </w:r>
      <w:r w:rsidRPr="00C93F49">
        <w:rPr>
          <w:b/>
        </w:rPr>
        <w:t xml:space="preserve"> RAN2 to reply to SA2 that NG-RAN is OK to support dynamic redundancy ratios per PDU set.</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351531F6"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77335E">
        <w:rPr>
          <w:lang w:val="en-US"/>
        </w:rPr>
        <w:t>question asked by SA2 in the incoming LSs. The following proposals were made</w:t>
      </w:r>
      <w:r>
        <w:rPr>
          <w:lang w:val="en-US"/>
        </w:rPr>
        <w:t>:</w:t>
      </w:r>
    </w:p>
    <w:p w14:paraId="153A0266" w14:textId="7F8B1E45" w:rsidR="006E3809" w:rsidRPr="007C09FF" w:rsidRDefault="00F17F5C" w:rsidP="005E4DB2">
      <w:pPr>
        <w:spacing w:before="100" w:beforeAutospacing="1" w:after="100" w:afterAutospacing="1"/>
        <w:jc w:val="both"/>
        <w:rPr>
          <w:i/>
          <w:iCs/>
          <w:u w:val="single"/>
          <w:lang w:val="en-US"/>
        </w:rPr>
      </w:pPr>
      <w:r w:rsidRPr="007C09FF">
        <w:rPr>
          <w:i/>
          <w:iCs/>
          <w:highlight w:val="yellow"/>
          <w:u w:val="single"/>
          <w:lang w:val="en-US"/>
        </w:rPr>
        <w:t>Discussion on S2-2405625</w:t>
      </w:r>
      <w:r w:rsidR="006E3809" w:rsidRPr="007C09FF">
        <w:rPr>
          <w:i/>
          <w:iCs/>
          <w:highlight w:val="yellow"/>
          <w:u w:val="single"/>
          <w:lang w:val="en-US"/>
        </w:rPr>
        <w:t>:</w:t>
      </w:r>
    </w:p>
    <w:p w14:paraId="2A42DA86" w14:textId="744FE734" w:rsidR="00B358E0" w:rsidRPr="00AB38A8" w:rsidRDefault="00B358E0" w:rsidP="00B358E0">
      <w:pPr>
        <w:spacing w:before="100" w:beforeAutospacing="1" w:after="100" w:afterAutospacing="1"/>
        <w:rPr>
          <w:b/>
        </w:rPr>
      </w:pPr>
      <w:r w:rsidRPr="00AB38A8">
        <w:rPr>
          <w:b/>
          <w:i/>
          <w:u w:val="single"/>
        </w:rPr>
        <w:t>Proposal 1:</w:t>
      </w:r>
      <w:r w:rsidRPr="00AB38A8">
        <w:rPr>
          <w:b/>
        </w:rPr>
        <w:t xml:space="preserve"> RAN2 to reply to SA2 that there is some improvement if RAN can be provided with the inter-PDU set correlation information</w:t>
      </w:r>
      <w:r>
        <w:rPr>
          <w:b/>
        </w:rPr>
        <w:t>. But there are also concerns on the complexity of PDU set discard based on inter-PDU set dependency.</w:t>
      </w:r>
    </w:p>
    <w:p w14:paraId="0FDD4B5F" w14:textId="094957CE" w:rsidR="00796A4F" w:rsidRPr="00691ED5" w:rsidRDefault="00796A4F" w:rsidP="00796A4F">
      <w:pPr>
        <w:spacing w:before="100" w:beforeAutospacing="1" w:after="100" w:afterAutospacing="1"/>
        <w:rPr>
          <w:b/>
        </w:rPr>
      </w:pPr>
      <w:r w:rsidRPr="00691ED5">
        <w:rPr>
          <w:b/>
          <w:i/>
          <w:u w:val="single"/>
        </w:rPr>
        <w:t>Proposal 2:</w:t>
      </w:r>
      <w:r w:rsidRPr="00691ED5">
        <w:rPr>
          <w:b/>
        </w:rPr>
        <w:t xml:space="preserve"> RAN2 to reply to SA2 that it is feasible for the NG-RAN to provide available data rate for the GBR</w:t>
      </w:r>
      <w:r>
        <w:rPr>
          <w:b/>
        </w:rPr>
        <w:t xml:space="preserve"> and non-GBR</w:t>
      </w:r>
      <w:r w:rsidRPr="00691ED5">
        <w:rPr>
          <w:b/>
        </w:rPr>
        <w:t xml:space="preserve"> QoS flows</w:t>
      </w:r>
      <w:r>
        <w:rPr>
          <w:b/>
        </w:rPr>
        <w:t>. But</w:t>
      </w:r>
      <w:r w:rsidRPr="00691ED5">
        <w:rPr>
          <w:b/>
        </w:rPr>
        <w:t xml:space="preserve"> for non-GBR QoS flows, the information may be </w:t>
      </w:r>
      <w:r>
        <w:rPr>
          <w:b/>
        </w:rPr>
        <w:t xml:space="preserve">less </w:t>
      </w:r>
      <w:r w:rsidRPr="00691ED5">
        <w:rPr>
          <w:b/>
        </w:rPr>
        <w:t>accurate</w:t>
      </w:r>
      <w:r>
        <w:rPr>
          <w:b/>
        </w:rPr>
        <w:t xml:space="preserve"> and stable</w:t>
      </w:r>
      <w:r w:rsidRPr="00691ED5">
        <w:rPr>
          <w:b/>
        </w:rPr>
        <w:t>.</w:t>
      </w:r>
    </w:p>
    <w:p w14:paraId="4082AFD4" w14:textId="77777777" w:rsidR="00796A4F" w:rsidRPr="00737DF9" w:rsidRDefault="00796A4F" w:rsidP="00796A4F">
      <w:pPr>
        <w:spacing w:before="100" w:beforeAutospacing="1" w:after="100" w:afterAutospacing="1"/>
        <w:rPr>
          <w:b/>
        </w:rPr>
      </w:pPr>
      <w:r w:rsidRPr="00737DF9">
        <w:rPr>
          <w:b/>
          <w:i/>
          <w:u w:val="single"/>
        </w:rPr>
        <w:lastRenderedPageBreak/>
        <w:t>Proposal 3:</w:t>
      </w:r>
      <w:r w:rsidRPr="00737DF9">
        <w:rPr>
          <w:b/>
        </w:rPr>
        <w:t xml:space="preserve"> RAN2 to reply to SA2 that the burst size is useful for RAN resource scheduling.</w:t>
      </w:r>
    </w:p>
    <w:p w14:paraId="7BFB8615" w14:textId="77777777" w:rsidR="00FF4F54" w:rsidRDefault="00FF4F54" w:rsidP="00FF4F54">
      <w:pPr>
        <w:spacing w:before="100" w:beforeAutospacing="1" w:after="100" w:afterAutospacing="1"/>
        <w:rPr>
          <w:b/>
        </w:rPr>
      </w:pPr>
      <w:r w:rsidRPr="007C1C83">
        <w:rPr>
          <w:b/>
          <w:i/>
          <w:u w:val="single"/>
        </w:rPr>
        <w:t>Proposal 4:</w:t>
      </w:r>
      <w:r w:rsidRPr="007C1C83">
        <w:rPr>
          <w:b/>
        </w:rPr>
        <w:t xml:space="preserve"> RAN2 to reply to SA2 that </w:t>
      </w:r>
    </w:p>
    <w:p w14:paraId="7B53DE3E" w14:textId="77777777" w:rsidR="00FF4F54" w:rsidRPr="00ED5870" w:rsidRDefault="00FF4F54" w:rsidP="00FF4F54">
      <w:pPr>
        <w:pStyle w:val="af1"/>
        <w:numPr>
          <w:ilvl w:val="0"/>
          <w:numId w:val="46"/>
        </w:numPr>
        <w:spacing w:before="100" w:beforeAutospacing="1" w:after="100" w:afterAutospacing="1"/>
        <w:rPr>
          <w:rFonts w:ascii="Times New Roman" w:hAnsi="Times New Roman" w:cs="Times New Roman"/>
          <w:b/>
          <w:sz w:val="20"/>
          <w:szCs w:val="20"/>
          <w:lang w:val="en-GB"/>
        </w:rPr>
      </w:pPr>
      <w:r w:rsidRPr="00ED5870">
        <w:rPr>
          <w:rFonts w:ascii="Times New Roman" w:hAnsi="Times New Roman" w:cs="Times New Roman"/>
          <w:b/>
          <w:sz w:val="20"/>
          <w:szCs w:val="20"/>
          <w:lang w:val="en-GB"/>
        </w:rPr>
        <w:t>RAN2 would ask SA2 to further confirm on the benefits of PDU set QoS performance exposure to APP</w:t>
      </w:r>
    </w:p>
    <w:p w14:paraId="171531E2" w14:textId="4D043D31" w:rsidR="008B578F" w:rsidRPr="00401BC2" w:rsidRDefault="00FF4F54" w:rsidP="005E4DB2">
      <w:pPr>
        <w:pStyle w:val="af1"/>
        <w:numPr>
          <w:ilvl w:val="0"/>
          <w:numId w:val="46"/>
        </w:numPr>
        <w:spacing w:before="100" w:beforeAutospacing="1" w:after="100" w:afterAutospacing="1"/>
        <w:rPr>
          <w:rFonts w:ascii="Times New Roman" w:hAnsi="Times New Roman" w:cs="Times New Roman" w:hint="eastAsia"/>
          <w:b/>
          <w:sz w:val="20"/>
          <w:szCs w:val="20"/>
          <w:lang w:val="en-GB"/>
        </w:rPr>
      </w:pPr>
      <w:r w:rsidRPr="00ED5870">
        <w:rPr>
          <w:rFonts w:ascii="Times New Roman" w:hAnsi="Times New Roman" w:cs="Times New Roman"/>
          <w:b/>
          <w:sz w:val="20"/>
          <w:szCs w:val="20"/>
          <w:lang w:val="en-GB"/>
        </w:rPr>
        <w:t>RAN2 expresses the concern that (a) current RAN2 mechanism cannot be reuse</w:t>
      </w:r>
      <w:r>
        <w:rPr>
          <w:rFonts w:ascii="Times New Roman" w:hAnsi="Times New Roman" w:cs="Times New Roman"/>
          <w:b/>
          <w:sz w:val="20"/>
          <w:szCs w:val="20"/>
          <w:lang w:val="en-GB"/>
        </w:rPr>
        <w:t>d</w:t>
      </w:r>
      <w:r w:rsidRPr="00ED5870">
        <w:rPr>
          <w:rFonts w:ascii="Times New Roman" w:hAnsi="Times New Roman" w:cs="Times New Roman"/>
          <w:b/>
          <w:sz w:val="20"/>
          <w:szCs w:val="20"/>
          <w:lang w:val="en-GB"/>
        </w:rPr>
        <w:t xml:space="preserve"> for PDU set QoS performance exposure to APP; (b) it is not possible to expose PDU set QoS performance in the UL data transmission</w:t>
      </w:r>
      <w:r>
        <w:rPr>
          <w:rFonts w:ascii="Times New Roman" w:hAnsi="Times New Roman" w:cs="Times New Roman"/>
          <w:b/>
          <w:sz w:val="20"/>
          <w:szCs w:val="20"/>
          <w:lang w:val="en-GB"/>
        </w:rPr>
        <w:t xml:space="preserve"> Such mechanism is very complex and would require long and complex discussion in RAN2.</w:t>
      </w:r>
    </w:p>
    <w:p w14:paraId="5167DF9C" w14:textId="3BEA6A9E" w:rsidR="004510EC" w:rsidRPr="007C09FF" w:rsidRDefault="00F17F5C" w:rsidP="004510EC">
      <w:pPr>
        <w:spacing w:before="100" w:beforeAutospacing="1" w:after="100" w:afterAutospacing="1"/>
        <w:jc w:val="both"/>
        <w:rPr>
          <w:i/>
          <w:iCs/>
          <w:u w:val="single"/>
          <w:lang w:val="en-US"/>
        </w:rPr>
      </w:pPr>
      <w:r w:rsidRPr="007C09FF">
        <w:rPr>
          <w:i/>
          <w:iCs/>
          <w:highlight w:val="yellow"/>
          <w:u w:val="single"/>
          <w:lang w:val="en-US"/>
        </w:rPr>
        <w:t>Discussion on S2-2405604</w:t>
      </w:r>
      <w:r w:rsidR="004510EC" w:rsidRPr="007C09FF">
        <w:rPr>
          <w:i/>
          <w:iCs/>
          <w:highlight w:val="yellow"/>
          <w:u w:val="single"/>
          <w:lang w:val="en-US"/>
        </w:rPr>
        <w:t>:</w:t>
      </w:r>
    </w:p>
    <w:p w14:paraId="14527F3B" w14:textId="0C3C5C5C" w:rsidR="00C0271A" w:rsidRPr="007A420D" w:rsidRDefault="00C0271A" w:rsidP="00C0271A">
      <w:pPr>
        <w:spacing w:before="100" w:beforeAutospacing="1" w:after="100" w:afterAutospacing="1"/>
        <w:rPr>
          <w:b/>
        </w:rPr>
      </w:pPr>
      <w:r w:rsidRPr="007A420D">
        <w:rPr>
          <w:b/>
          <w:i/>
          <w:u w:val="single"/>
        </w:rPr>
        <w:t>Proposal 5:</w:t>
      </w:r>
      <w:r w:rsidRPr="007A420D">
        <w:rPr>
          <w:b/>
        </w:rPr>
        <w:t xml:space="preserve"> RAN2 to reply to SA2 that</w:t>
      </w:r>
      <w:r>
        <w:rPr>
          <w:b/>
        </w:rPr>
        <w:t>, for DL PDU transmission,</w:t>
      </w:r>
      <w:r w:rsidRPr="007A420D">
        <w:rPr>
          <w:b/>
        </w:rPr>
        <w:t xml:space="preserve"> NG-RAN can determine whether a PDU was successfully delivered over an </w:t>
      </w:r>
      <w:r>
        <w:rPr>
          <w:b/>
        </w:rPr>
        <w:t>UM DRB. The NG-RAN can get this information within multiple RTTs depending on the network implementation</w:t>
      </w:r>
    </w:p>
    <w:p w14:paraId="45B66AE6" w14:textId="77777777" w:rsidR="00C0271A" w:rsidRPr="008B578F" w:rsidRDefault="00C0271A" w:rsidP="00C0271A">
      <w:pPr>
        <w:spacing w:before="100" w:beforeAutospacing="1" w:after="100" w:afterAutospacing="1"/>
        <w:rPr>
          <w:b/>
          <w:bCs/>
        </w:rPr>
      </w:pPr>
      <w:r w:rsidRPr="008B578F">
        <w:rPr>
          <w:b/>
          <w:bCs/>
          <w:i/>
          <w:iCs/>
          <w:u w:val="single"/>
        </w:rPr>
        <w:t>Proposal</w:t>
      </w:r>
      <w:r>
        <w:rPr>
          <w:b/>
          <w:bCs/>
          <w:i/>
          <w:iCs/>
          <w:u w:val="single"/>
        </w:rPr>
        <w:t xml:space="preserve"> 6</w:t>
      </w:r>
      <w:r w:rsidRPr="008B578F">
        <w:rPr>
          <w:b/>
          <w:bCs/>
        </w:rPr>
        <w:t xml:space="preserve">: RAN2 to reply to SA2 that, for </w:t>
      </w:r>
      <w:r>
        <w:rPr>
          <w:b/>
          <w:bCs/>
        </w:rPr>
        <w:t>UL</w:t>
      </w:r>
      <w:r w:rsidRPr="008B578F">
        <w:rPr>
          <w:b/>
          <w:bCs/>
        </w:rPr>
        <w:t xml:space="preserve"> PDU transmission, NG-RAN cannot determine whether a PDU was successfully delivered over an UM DRB.</w:t>
      </w:r>
    </w:p>
    <w:p w14:paraId="2B0906B1" w14:textId="7A548902" w:rsidR="00C0271A" w:rsidRPr="0043322F" w:rsidRDefault="00C0271A" w:rsidP="0043322F">
      <w:pPr>
        <w:spacing w:before="100" w:beforeAutospacing="1" w:after="100" w:afterAutospacing="1"/>
        <w:rPr>
          <w:rFonts w:hint="eastAsia"/>
          <w:b/>
        </w:rPr>
      </w:pPr>
      <w:r w:rsidRPr="00C93F49">
        <w:rPr>
          <w:b/>
          <w:i/>
          <w:u w:val="single"/>
        </w:rPr>
        <w:t>Proposal 7:</w:t>
      </w:r>
      <w:r w:rsidRPr="00C93F49">
        <w:rPr>
          <w:b/>
        </w:rPr>
        <w:t xml:space="preserve"> RAN2 to reply to SA2 that NG-RAN is OK to support dynamic redundancy ratios per PDU set.</w:t>
      </w:r>
    </w:p>
    <w:p w14:paraId="202BEE13" w14:textId="77777777" w:rsidR="008C3E92" w:rsidRDefault="008C3E92" w:rsidP="0046531D">
      <w:pPr>
        <w:pStyle w:val="1"/>
        <w:ind w:left="0" w:firstLine="0"/>
        <w:jc w:val="both"/>
      </w:pPr>
      <w:r>
        <w:rPr>
          <w:rFonts w:hint="eastAsia"/>
        </w:rPr>
        <w:t>4</w:t>
      </w:r>
      <w:r>
        <w:t>. Reference</w:t>
      </w:r>
    </w:p>
    <w:p w14:paraId="505902FA" w14:textId="314580BC" w:rsidR="0016366F" w:rsidRDefault="00536514" w:rsidP="0016366F">
      <w:pPr>
        <w:jc w:val="both"/>
      </w:pPr>
      <w:r>
        <w:t>[1</w:t>
      </w:r>
      <w:r w:rsidR="00256ABE">
        <w:t xml:space="preserve">]. </w:t>
      </w:r>
      <w:r w:rsidR="0016366F">
        <w:t xml:space="preserve">S2-2405625, </w:t>
      </w:r>
      <w:r w:rsidR="00CB5895">
        <w:t xml:space="preserve">vivo, </w:t>
      </w:r>
      <w:r w:rsidR="00CB5895" w:rsidRPr="00CB5895">
        <w:t>LS on FS_XRM Ph2</w:t>
      </w:r>
      <w:r w:rsidR="00CB5895">
        <w:t>.</w:t>
      </w:r>
    </w:p>
    <w:p w14:paraId="683A90E2" w14:textId="6F7CA32F" w:rsidR="008D28DD" w:rsidRDefault="008D28DD" w:rsidP="0016366F">
      <w:pPr>
        <w:jc w:val="both"/>
      </w:pPr>
      <w:r>
        <w:t>[2].</w:t>
      </w:r>
      <w:r w:rsidR="004549F3">
        <w:t xml:space="preserve"> 3GPP TR 23.700-70, </w:t>
      </w:r>
      <w:r w:rsidR="00187A39">
        <w:t>“</w:t>
      </w:r>
      <w:r w:rsidR="004549F3">
        <w:t>Study on architecture enhancement for Extended Reality and Media service (XRM)</w:t>
      </w:r>
      <w:r w:rsidR="00FB0E82">
        <w:t>, Phase 2</w:t>
      </w:r>
      <w:r w:rsidR="00187A39">
        <w:t>”</w:t>
      </w:r>
      <w:r w:rsidR="004549F3">
        <w:t xml:space="preserve">. </w:t>
      </w:r>
    </w:p>
    <w:p w14:paraId="41BFBEE3" w14:textId="57E6A64A" w:rsidR="00187A39" w:rsidRDefault="00187A39" w:rsidP="0016366F">
      <w:pPr>
        <w:jc w:val="both"/>
      </w:pPr>
      <w:r>
        <w:t>[3]. 3GPP TS 38.314, “NR; Layer 2 Measurements”.</w:t>
      </w:r>
    </w:p>
    <w:p w14:paraId="4BDD56F0" w14:textId="5DCBD74C" w:rsidR="00914159" w:rsidRDefault="00914159" w:rsidP="0016366F">
      <w:pPr>
        <w:jc w:val="both"/>
      </w:pPr>
      <w:r>
        <w:t xml:space="preserve">[4]. </w:t>
      </w:r>
      <w:r w:rsidRPr="00443309">
        <w:t>3GPP TS 28.552: "5G performance measurements".</w:t>
      </w:r>
    </w:p>
    <w:p w14:paraId="391BA217" w14:textId="34926B92" w:rsidR="002E0C55" w:rsidRPr="00CB5895" w:rsidRDefault="002E0C55" w:rsidP="0016366F">
      <w:pPr>
        <w:jc w:val="both"/>
      </w:pPr>
      <w:r>
        <w:t>[5]. S2-2405604</w:t>
      </w:r>
      <w:r>
        <w:rPr>
          <w:rFonts w:hint="eastAsia"/>
        </w:rPr>
        <w:t>,</w:t>
      </w:r>
      <w:r>
        <w:t xml:space="preserve"> Qualcomm, LS on Application-Layer FEC Awareness at RAN.</w:t>
      </w:r>
    </w:p>
    <w:p w14:paraId="60A88B25" w14:textId="4C9A83D3" w:rsidR="00FB7BBD" w:rsidRDefault="00FB7BBD" w:rsidP="0046531D">
      <w:pPr>
        <w:jc w:val="both"/>
      </w:pPr>
    </w:p>
    <w:sectPr w:rsidR="00FB7BBD"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2B78" w14:textId="77777777" w:rsidR="001D20E8" w:rsidRDefault="001D20E8">
      <w:r>
        <w:separator/>
      </w:r>
    </w:p>
  </w:endnote>
  <w:endnote w:type="continuationSeparator" w:id="0">
    <w:p w14:paraId="39AA7ADC" w14:textId="77777777" w:rsidR="001D20E8" w:rsidRDefault="001D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2E4B" w14:textId="77777777" w:rsidR="001D20E8" w:rsidRDefault="001D20E8">
      <w:r>
        <w:separator/>
      </w:r>
    </w:p>
  </w:footnote>
  <w:footnote w:type="continuationSeparator" w:id="0">
    <w:p w14:paraId="6F812AC8" w14:textId="77777777" w:rsidR="001D20E8" w:rsidRDefault="001D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9.75pt;height:9.7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2F304D"/>
    <w:multiLevelType w:val="hybridMultilevel"/>
    <w:tmpl w:val="68E21D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2"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306543"/>
    <w:multiLevelType w:val="multilevel"/>
    <w:tmpl w:val="087244D2"/>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
  </w:num>
  <w:num w:numId="3">
    <w:abstractNumId w:val="11"/>
  </w:num>
  <w:num w:numId="4">
    <w:abstractNumId w:val="31"/>
  </w:num>
  <w:num w:numId="5">
    <w:abstractNumId w:val="31"/>
    <w:lvlOverride w:ilvl="0">
      <w:startOverride w:val="1"/>
    </w:lvlOverride>
  </w:num>
  <w:num w:numId="6">
    <w:abstractNumId w:val="31"/>
    <w:lvlOverride w:ilvl="0">
      <w:startOverride w:val="1"/>
    </w:lvlOverride>
  </w:num>
  <w:num w:numId="7">
    <w:abstractNumId w:val="9"/>
  </w:num>
  <w:num w:numId="8">
    <w:abstractNumId w:val="32"/>
  </w:num>
  <w:num w:numId="9">
    <w:abstractNumId w:val="23"/>
  </w:num>
  <w:num w:numId="10">
    <w:abstractNumId w:val="27"/>
  </w:num>
  <w:num w:numId="11">
    <w:abstractNumId w:val="31"/>
  </w:num>
  <w:num w:numId="12">
    <w:abstractNumId w:val="26"/>
  </w:num>
  <w:num w:numId="13">
    <w:abstractNumId w:val="3"/>
  </w:num>
  <w:num w:numId="14">
    <w:abstractNumId w:val="37"/>
  </w:num>
  <w:num w:numId="15">
    <w:abstractNumId w:val="18"/>
  </w:num>
  <w:num w:numId="16">
    <w:abstractNumId w:val="10"/>
  </w:num>
  <w:num w:numId="17">
    <w:abstractNumId w:val="31"/>
  </w:num>
  <w:num w:numId="18">
    <w:abstractNumId w:val="22"/>
  </w:num>
  <w:num w:numId="19">
    <w:abstractNumId w:val="28"/>
  </w:num>
  <w:num w:numId="20">
    <w:abstractNumId w:val="34"/>
  </w:num>
  <w:num w:numId="21">
    <w:abstractNumId w:val="34"/>
  </w:num>
  <w:num w:numId="22">
    <w:abstractNumId w:val="31"/>
  </w:num>
  <w:num w:numId="23">
    <w:abstractNumId w:val="7"/>
  </w:num>
  <w:num w:numId="24">
    <w:abstractNumId w:val="14"/>
  </w:num>
  <w:num w:numId="25">
    <w:abstractNumId w:val="24"/>
  </w:num>
  <w:num w:numId="26">
    <w:abstractNumId w:val="1"/>
  </w:num>
  <w:num w:numId="27">
    <w:abstractNumId w:val="15"/>
  </w:num>
  <w:num w:numId="28">
    <w:abstractNumId w:val="25"/>
  </w:num>
  <w:num w:numId="29">
    <w:abstractNumId w:val="36"/>
  </w:num>
  <w:num w:numId="30">
    <w:abstractNumId w:val="35"/>
  </w:num>
  <w:num w:numId="31">
    <w:abstractNumId w:val="8"/>
  </w:num>
  <w:num w:numId="32">
    <w:abstractNumId w:val="16"/>
  </w:num>
  <w:num w:numId="33">
    <w:abstractNumId w:val="20"/>
  </w:num>
  <w:num w:numId="34">
    <w:abstractNumId w:val="21"/>
  </w:num>
  <w:num w:numId="35">
    <w:abstractNumId w:val="34"/>
  </w:num>
  <w:num w:numId="36">
    <w:abstractNumId w:val="30"/>
  </w:num>
  <w:num w:numId="37">
    <w:abstractNumId w:val="12"/>
  </w:num>
  <w:num w:numId="38">
    <w:abstractNumId w:val="0"/>
  </w:num>
  <w:num w:numId="39">
    <w:abstractNumId w:val="5"/>
  </w:num>
  <w:num w:numId="40">
    <w:abstractNumId w:val="4"/>
  </w:num>
  <w:num w:numId="41">
    <w:abstractNumId w:val="29"/>
  </w:num>
  <w:num w:numId="42">
    <w:abstractNumId w:val="6"/>
  </w:num>
  <w:num w:numId="43">
    <w:abstractNumId w:val="33"/>
  </w:num>
  <w:num w:numId="44">
    <w:abstractNumId w:val="17"/>
  </w:num>
  <w:num w:numId="45">
    <w:abstractNumId w:val="19"/>
  </w:num>
  <w:num w:numId="4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4D5"/>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48D"/>
    <w:rsid w:val="000169B7"/>
    <w:rsid w:val="000169D2"/>
    <w:rsid w:val="0001722C"/>
    <w:rsid w:val="0001732A"/>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4CC"/>
    <w:rsid w:val="000358F6"/>
    <w:rsid w:val="00035F87"/>
    <w:rsid w:val="0003636E"/>
    <w:rsid w:val="000363B6"/>
    <w:rsid w:val="000367FC"/>
    <w:rsid w:val="0003693A"/>
    <w:rsid w:val="00036D80"/>
    <w:rsid w:val="0003775C"/>
    <w:rsid w:val="00037BF2"/>
    <w:rsid w:val="000401DB"/>
    <w:rsid w:val="000402F2"/>
    <w:rsid w:val="000404A8"/>
    <w:rsid w:val="000405B1"/>
    <w:rsid w:val="00041059"/>
    <w:rsid w:val="0004137A"/>
    <w:rsid w:val="000425FA"/>
    <w:rsid w:val="00042C9A"/>
    <w:rsid w:val="00043882"/>
    <w:rsid w:val="00043912"/>
    <w:rsid w:val="00043986"/>
    <w:rsid w:val="000448CC"/>
    <w:rsid w:val="00044C61"/>
    <w:rsid w:val="00044F33"/>
    <w:rsid w:val="00045321"/>
    <w:rsid w:val="000459DE"/>
    <w:rsid w:val="00046908"/>
    <w:rsid w:val="00046B14"/>
    <w:rsid w:val="00046BCB"/>
    <w:rsid w:val="00047025"/>
    <w:rsid w:val="000474BB"/>
    <w:rsid w:val="00050B1C"/>
    <w:rsid w:val="00050F8F"/>
    <w:rsid w:val="0005167C"/>
    <w:rsid w:val="00052093"/>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5845"/>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4129"/>
    <w:rsid w:val="000B46C2"/>
    <w:rsid w:val="000B5BCC"/>
    <w:rsid w:val="000B6299"/>
    <w:rsid w:val="000B6696"/>
    <w:rsid w:val="000B6801"/>
    <w:rsid w:val="000B6B6E"/>
    <w:rsid w:val="000B7110"/>
    <w:rsid w:val="000C0014"/>
    <w:rsid w:val="000C038A"/>
    <w:rsid w:val="000C0C8F"/>
    <w:rsid w:val="000C1D91"/>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3A9B"/>
    <w:rsid w:val="000D5767"/>
    <w:rsid w:val="000D588C"/>
    <w:rsid w:val="000D590F"/>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0EA"/>
    <w:rsid w:val="000E5168"/>
    <w:rsid w:val="000E51B4"/>
    <w:rsid w:val="000E542B"/>
    <w:rsid w:val="000E58A3"/>
    <w:rsid w:val="000E60EC"/>
    <w:rsid w:val="000E6604"/>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CA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3690"/>
    <w:rsid w:val="00143F91"/>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66F"/>
    <w:rsid w:val="00164307"/>
    <w:rsid w:val="00165135"/>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0C84"/>
    <w:rsid w:val="001717FE"/>
    <w:rsid w:val="00171D8E"/>
    <w:rsid w:val="00172659"/>
    <w:rsid w:val="001726CF"/>
    <w:rsid w:val="00173099"/>
    <w:rsid w:val="00174272"/>
    <w:rsid w:val="00174389"/>
    <w:rsid w:val="0017440E"/>
    <w:rsid w:val="00174825"/>
    <w:rsid w:val="00174922"/>
    <w:rsid w:val="00174C06"/>
    <w:rsid w:val="00175F6B"/>
    <w:rsid w:val="0017629B"/>
    <w:rsid w:val="00176E1B"/>
    <w:rsid w:val="001777A3"/>
    <w:rsid w:val="00177980"/>
    <w:rsid w:val="00177B93"/>
    <w:rsid w:val="00181138"/>
    <w:rsid w:val="00181201"/>
    <w:rsid w:val="001813A1"/>
    <w:rsid w:val="00181B7B"/>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A39"/>
    <w:rsid w:val="00187D7F"/>
    <w:rsid w:val="00187DA7"/>
    <w:rsid w:val="001901AD"/>
    <w:rsid w:val="00190380"/>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3CD"/>
    <w:rsid w:val="001A0912"/>
    <w:rsid w:val="001A0DD5"/>
    <w:rsid w:val="001A1003"/>
    <w:rsid w:val="001A103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2D04"/>
    <w:rsid w:val="001B38C2"/>
    <w:rsid w:val="001B4002"/>
    <w:rsid w:val="001B4222"/>
    <w:rsid w:val="001B469F"/>
    <w:rsid w:val="001B4999"/>
    <w:rsid w:val="001B4DDB"/>
    <w:rsid w:val="001B5AF5"/>
    <w:rsid w:val="001B5AFC"/>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20E8"/>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515"/>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3ED8"/>
    <w:rsid w:val="002256A0"/>
    <w:rsid w:val="00225FF0"/>
    <w:rsid w:val="0022615B"/>
    <w:rsid w:val="00226902"/>
    <w:rsid w:val="0022729B"/>
    <w:rsid w:val="0022756C"/>
    <w:rsid w:val="0023069F"/>
    <w:rsid w:val="00230953"/>
    <w:rsid w:val="002311BA"/>
    <w:rsid w:val="00231234"/>
    <w:rsid w:val="00231864"/>
    <w:rsid w:val="002327FD"/>
    <w:rsid w:val="00233AC5"/>
    <w:rsid w:val="00233FC1"/>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5D64"/>
    <w:rsid w:val="002460C8"/>
    <w:rsid w:val="002468B4"/>
    <w:rsid w:val="002473FD"/>
    <w:rsid w:val="00247766"/>
    <w:rsid w:val="00247832"/>
    <w:rsid w:val="00250586"/>
    <w:rsid w:val="002505EF"/>
    <w:rsid w:val="002508C1"/>
    <w:rsid w:val="00250E44"/>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833"/>
    <w:rsid w:val="0027338B"/>
    <w:rsid w:val="002738EF"/>
    <w:rsid w:val="00273B2F"/>
    <w:rsid w:val="002742AC"/>
    <w:rsid w:val="002748F0"/>
    <w:rsid w:val="00274A79"/>
    <w:rsid w:val="00274CB4"/>
    <w:rsid w:val="00275CFB"/>
    <w:rsid w:val="00275D12"/>
    <w:rsid w:val="00275F69"/>
    <w:rsid w:val="00276823"/>
    <w:rsid w:val="00276971"/>
    <w:rsid w:val="002775E4"/>
    <w:rsid w:val="002779C8"/>
    <w:rsid w:val="00277A07"/>
    <w:rsid w:val="00277B72"/>
    <w:rsid w:val="00280EA7"/>
    <w:rsid w:val="00281203"/>
    <w:rsid w:val="002821EF"/>
    <w:rsid w:val="00282F82"/>
    <w:rsid w:val="002837F9"/>
    <w:rsid w:val="00283CB8"/>
    <w:rsid w:val="00284A9D"/>
    <w:rsid w:val="00284D79"/>
    <w:rsid w:val="00284E11"/>
    <w:rsid w:val="002852C3"/>
    <w:rsid w:val="00285667"/>
    <w:rsid w:val="00285A34"/>
    <w:rsid w:val="00285B04"/>
    <w:rsid w:val="00285EDE"/>
    <w:rsid w:val="002860C4"/>
    <w:rsid w:val="002860F6"/>
    <w:rsid w:val="00286818"/>
    <w:rsid w:val="00286DA2"/>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5954"/>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B05"/>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5F1"/>
    <w:rsid w:val="002C568C"/>
    <w:rsid w:val="002C69D7"/>
    <w:rsid w:val="002C6EF8"/>
    <w:rsid w:val="002C7198"/>
    <w:rsid w:val="002C72B7"/>
    <w:rsid w:val="002C7375"/>
    <w:rsid w:val="002C7E24"/>
    <w:rsid w:val="002D0261"/>
    <w:rsid w:val="002D05B1"/>
    <w:rsid w:val="002D0DFC"/>
    <w:rsid w:val="002D1EA3"/>
    <w:rsid w:val="002D1EDE"/>
    <w:rsid w:val="002D277E"/>
    <w:rsid w:val="002D2A14"/>
    <w:rsid w:val="002D2C6F"/>
    <w:rsid w:val="002D3442"/>
    <w:rsid w:val="002D3C66"/>
    <w:rsid w:val="002D3CD4"/>
    <w:rsid w:val="002D3DC2"/>
    <w:rsid w:val="002D4161"/>
    <w:rsid w:val="002D47FD"/>
    <w:rsid w:val="002D47FF"/>
    <w:rsid w:val="002D4BDE"/>
    <w:rsid w:val="002D4E39"/>
    <w:rsid w:val="002D58C4"/>
    <w:rsid w:val="002D5D97"/>
    <w:rsid w:val="002D639E"/>
    <w:rsid w:val="002D67AC"/>
    <w:rsid w:val="002D6892"/>
    <w:rsid w:val="002D6D61"/>
    <w:rsid w:val="002D7648"/>
    <w:rsid w:val="002E0C55"/>
    <w:rsid w:val="002E0C86"/>
    <w:rsid w:val="002E32D0"/>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5DF0"/>
    <w:rsid w:val="002F68DF"/>
    <w:rsid w:val="002F701C"/>
    <w:rsid w:val="002F7792"/>
    <w:rsid w:val="002F7839"/>
    <w:rsid w:val="002F7E27"/>
    <w:rsid w:val="003000B7"/>
    <w:rsid w:val="00301AF0"/>
    <w:rsid w:val="00301CC1"/>
    <w:rsid w:val="00301FEA"/>
    <w:rsid w:val="00302589"/>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1CC8"/>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4B6"/>
    <w:rsid w:val="003175BA"/>
    <w:rsid w:val="00317BED"/>
    <w:rsid w:val="00317E9C"/>
    <w:rsid w:val="00317F3B"/>
    <w:rsid w:val="00320099"/>
    <w:rsid w:val="00320549"/>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73"/>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2E2"/>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19"/>
    <w:rsid w:val="00356E6E"/>
    <w:rsid w:val="00357360"/>
    <w:rsid w:val="00357692"/>
    <w:rsid w:val="00357AA8"/>
    <w:rsid w:val="00360026"/>
    <w:rsid w:val="003606D5"/>
    <w:rsid w:val="00360E72"/>
    <w:rsid w:val="00361492"/>
    <w:rsid w:val="00361B5D"/>
    <w:rsid w:val="00362007"/>
    <w:rsid w:val="003627EE"/>
    <w:rsid w:val="0036365C"/>
    <w:rsid w:val="00364DAA"/>
    <w:rsid w:val="00365A1C"/>
    <w:rsid w:val="00365EEA"/>
    <w:rsid w:val="00366386"/>
    <w:rsid w:val="00366411"/>
    <w:rsid w:val="00366416"/>
    <w:rsid w:val="00366E06"/>
    <w:rsid w:val="00366F4B"/>
    <w:rsid w:val="00367815"/>
    <w:rsid w:val="00367A7C"/>
    <w:rsid w:val="00367BA3"/>
    <w:rsid w:val="003701D4"/>
    <w:rsid w:val="00370572"/>
    <w:rsid w:val="003705B6"/>
    <w:rsid w:val="003713A0"/>
    <w:rsid w:val="00371EFD"/>
    <w:rsid w:val="00372681"/>
    <w:rsid w:val="0037305A"/>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0EB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3B20"/>
    <w:rsid w:val="00393BA3"/>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3B81"/>
    <w:rsid w:val="003B41DC"/>
    <w:rsid w:val="003B4E28"/>
    <w:rsid w:val="003B4E47"/>
    <w:rsid w:val="003B4EC0"/>
    <w:rsid w:val="003B53CF"/>
    <w:rsid w:val="003B5A43"/>
    <w:rsid w:val="003B6201"/>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557"/>
    <w:rsid w:val="003C5FA5"/>
    <w:rsid w:val="003C65E3"/>
    <w:rsid w:val="003C6619"/>
    <w:rsid w:val="003C7DC0"/>
    <w:rsid w:val="003D2786"/>
    <w:rsid w:val="003D3162"/>
    <w:rsid w:val="003D32B4"/>
    <w:rsid w:val="003D3DFB"/>
    <w:rsid w:val="003D401A"/>
    <w:rsid w:val="003D40ED"/>
    <w:rsid w:val="003D452E"/>
    <w:rsid w:val="003D4B71"/>
    <w:rsid w:val="003D53D5"/>
    <w:rsid w:val="003D58CB"/>
    <w:rsid w:val="003D5F21"/>
    <w:rsid w:val="003D623D"/>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A8E"/>
    <w:rsid w:val="003F2A17"/>
    <w:rsid w:val="003F40DA"/>
    <w:rsid w:val="003F43F6"/>
    <w:rsid w:val="003F448E"/>
    <w:rsid w:val="003F46A1"/>
    <w:rsid w:val="003F4893"/>
    <w:rsid w:val="003F49BA"/>
    <w:rsid w:val="003F525C"/>
    <w:rsid w:val="003F634A"/>
    <w:rsid w:val="003F6A1C"/>
    <w:rsid w:val="00400026"/>
    <w:rsid w:val="00400CC4"/>
    <w:rsid w:val="00401A3B"/>
    <w:rsid w:val="00401BC2"/>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751"/>
    <w:rsid w:val="00413D20"/>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22F"/>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13F5"/>
    <w:rsid w:val="00452669"/>
    <w:rsid w:val="00452CE5"/>
    <w:rsid w:val="00452DDC"/>
    <w:rsid w:val="00452F7C"/>
    <w:rsid w:val="0045340E"/>
    <w:rsid w:val="00453797"/>
    <w:rsid w:val="00454102"/>
    <w:rsid w:val="004549F3"/>
    <w:rsid w:val="00454D42"/>
    <w:rsid w:val="00454F81"/>
    <w:rsid w:val="004554D6"/>
    <w:rsid w:val="00455C80"/>
    <w:rsid w:val="0045706D"/>
    <w:rsid w:val="004607D8"/>
    <w:rsid w:val="00460AB2"/>
    <w:rsid w:val="0046115A"/>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DCB"/>
    <w:rsid w:val="004841A5"/>
    <w:rsid w:val="004851AC"/>
    <w:rsid w:val="00485DAB"/>
    <w:rsid w:val="004869C1"/>
    <w:rsid w:val="00487D88"/>
    <w:rsid w:val="0049040F"/>
    <w:rsid w:val="004909A6"/>
    <w:rsid w:val="00490B9C"/>
    <w:rsid w:val="004922C6"/>
    <w:rsid w:val="00492BCC"/>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4BF9"/>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C7F53"/>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D7D"/>
    <w:rsid w:val="004E1E52"/>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3966"/>
    <w:rsid w:val="004F43BE"/>
    <w:rsid w:val="004F46A8"/>
    <w:rsid w:val="004F48BD"/>
    <w:rsid w:val="004F57AD"/>
    <w:rsid w:val="004F595F"/>
    <w:rsid w:val="004F5DD0"/>
    <w:rsid w:val="004F5E44"/>
    <w:rsid w:val="004F615D"/>
    <w:rsid w:val="004F6164"/>
    <w:rsid w:val="004F6B8F"/>
    <w:rsid w:val="004F6CC5"/>
    <w:rsid w:val="004F726E"/>
    <w:rsid w:val="004F7462"/>
    <w:rsid w:val="004F7547"/>
    <w:rsid w:val="004F7D1E"/>
    <w:rsid w:val="0050032A"/>
    <w:rsid w:val="0050058F"/>
    <w:rsid w:val="00501632"/>
    <w:rsid w:val="005016CB"/>
    <w:rsid w:val="005024C9"/>
    <w:rsid w:val="00502A02"/>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1FD5"/>
    <w:rsid w:val="0054214E"/>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6EA"/>
    <w:rsid w:val="00571D59"/>
    <w:rsid w:val="0057223E"/>
    <w:rsid w:val="0057327A"/>
    <w:rsid w:val="00576666"/>
    <w:rsid w:val="005774FB"/>
    <w:rsid w:val="005778F2"/>
    <w:rsid w:val="005808ED"/>
    <w:rsid w:val="0058095D"/>
    <w:rsid w:val="00581AF4"/>
    <w:rsid w:val="00581D66"/>
    <w:rsid w:val="00582305"/>
    <w:rsid w:val="005823C7"/>
    <w:rsid w:val="005824A8"/>
    <w:rsid w:val="0058288A"/>
    <w:rsid w:val="005831E0"/>
    <w:rsid w:val="005835DE"/>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008"/>
    <w:rsid w:val="005A4844"/>
    <w:rsid w:val="005A4A55"/>
    <w:rsid w:val="005A4E18"/>
    <w:rsid w:val="005A53CF"/>
    <w:rsid w:val="005A5D91"/>
    <w:rsid w:val="005A6227"/>
    <w:rsid w:val="005A6249"/>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0C4"/>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992"/>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88"/>
    <w:rsid w:val="006503D8"/>
    <w:rsid w:val="00650490"/>
    <w:rsid w:val="006506BC"/>
    <w:rsid w:val="00651468"/>
    <w:rsid w:val="006521E7"/>
    <w:rsid w:val="006521F9"/>
    <w:rsid w:val="0065267A"/>
    <w:rsid w:val="00652A92"/>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8FC"/>
    <w:rsid w:val="00686F30"/>
    <w:rsid w:val="00686F7F"/>
    <w:rsid w:val="0068780A"/>
    <w:rsid w:val="00687A3D"/>
    <w:rsid w:val="00690749"/>
    <w:rsid w:val="0069089B"/>
    <w:rsid w:val="006909E1"/>
    <w:rsid w:val="00691ED5"/>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596D"/>
    <w:rsid w:val="006A68A8"/>
    <w:rsid w:val="006A6A25"/>
    <w:rsid w:val="006A7340"/>
    <w:rsid w:val="006A764E"/>
    <w:rsid w:val="006A79BF"/>
    <w:rsid w:val="006A7C14"/>
    <w:rsid w:val="006B038F"/>
    <w:rsid w:val="006B0C44"/>
    <w:rsid w:val="006B27FF"/>
    <w:rsid w:val="006B325D"/>
    <w:rsid w:val="006B46FB"/>
    <w:rsid w:val="006B4D7A"/>
    <w:rsid w:val="006B5C13"/>
    <w:rsid w:val="006B63AA"/>
    <w:rsid w:val="006B68A1"/>
    <w:rsid w:val="006B73AE"/>
    <w:rsid w:val="006C01AC"/>
    <w:rsid w:val="006C0A09"/>
    <w:rsid w:val="006C17AF"/>
    <w:rsid w:val="006C198E"/>
    <w:rsid w:val="006C1D40"/>
    <w:rsid w:val="006C30B3"/>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4DF4"/>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4195"/>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BC3"/>
    <w:rsid w:val="00737452"/>
    <w:rsid w:val="00737CCE"/>
    <w:rsid w:val="00737DF9"/>
    <w:rsid w:val="00737FA2"/>
    <w:rsid w:val="0074057C"/>
    <w:rsid w:val="00740715"/>
    <w:rsid w:val="007413F9"/>
    <w:rsid w:val="00741887"/>
    <w:rsid w:val="007418F2"/>
    <w:rsid w:val="00742221"/>
    <w:rsid w:val="007423A9"/>
    <w:rsid w:val="0074379F"/>
    <w:rsid w:val="00743A88"/>
    <w:rsid w:val="00744A0C"/>
    <w:rsid w:val="00745E9F"/>
    <w:rsid w:val="00746362"/>
    <w:rsid w:val="00746CF7"/>
    <w:rsid w:val="00746D8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305B"/>
    <w:rsid w:val="007732F5"/>
    <w:rsid w:val="00773328"/>
    <w:rsid w:val="0077335E"/>
    <w:rsid w:val="00774202"/>
    <w:rsid w:val="00774784"/>
    <w:rsid w:val="00774842"/>
    <w:rsid w:val="00774A5F"/>
    <w:rsid w:val="00774FCF"/>
    <w:rsid w:val="0077554F"/>
    <w:rsid w:val="007756F1"/>
    <w:rsid w:val="00775DD9"/>
    <w:rsid w:val="00776993"/>
    <w:rsid w:val="00776FD2"/>
    <w:rsid w:val="00777026"/>
    <w:rsid w:val="00777BF2"/>
    <w:rsid w:val="00777E6A"/>
    <w:rsid w:val="00777ED4"/>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A4F"/>
    <w:rsid w:val="00796B25"/>
    <w:rsid w:val="007973C9"/>
    <w:rsid w:val="007A0866"/>
    <w:rsid w:val="007A0C14"/>
    <w:rsid w:val="007A196A"/>
    <w:rsid w:val="007A1A9B"/>
    <w:rsid w:val="007A1A9D"/>
    <w:rsid w:val="007A2062"/>
    <w:rsid w:val="007A2645"/>
    <w:rsid w:val="007A2BD7"/>
    <w:rsid w:val="007A420D"/>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BD5"/>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9FF"/>
    <w:rsid w:val="007C0C9C"/>
    <w:rsid w:val="007C116B"/>
    <w:rsid w:val="007C1C83"/>
    <w:rsid w:val="007C2097"/>
    <w:rsid w:val="007C239D"/>
    <w:rsid w:val="007C3948"/>
    <w:rsid w:val="007C3A9A"/>
    <w:rsid w:val="007C47F8"/>
    <w:rsid w:val="007C5530"/>
    <w:rsid w:val="007C5AC6"/>
    <w:rsid w:val="007C5E93"/>
    <w:rsid w:val="007C6D4E"/>
    <w:rsid w:val="007C6DCF"/>
    <w:rsid w:val="007C730C"/>
    <w:rsid w:val="007D01A6"/>
    <w:rsid w:val="007D0210"/>
    <w:rsid w:val="007D02F9"/>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BFD"/>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1E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106"/>
    <w:rsid w:val="00842974"/>
    <w:rsid w:val="008432D0"/>
    <w:rsid w:val="00843449"/>
    <w:rsid w:val="00844509"/>
    <w:rsid w:val="008446B5"/>
    <w:rsid w:val="00844DC7"/>
    <w:rsid w:val="008454D9"/>
    <w:rsid w:val="00845D9C"/>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0FCC"/>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F79"/>
    <w:rsid w:val="008A11D1"/>
    <w:rsid w:val="008A12A5"/>
    <w:rsid w:val="008A190B"/>
    <w:rsid w:val="008A243F"/>
    <w:rsid w:val="008A294A"/>
    <w:rsid w:val="008A4530"/>
    <w:rsid w:val="008A4C0F"/>
    <w:rsid w:val="008A4E52"/>
    <w:rsid w:val="008A655D"/>
    <w:rsid w:val="008A7B0F"/>
    <w:rsid w:val="008A7D9D"/>
    <w:rsid w:val="008B0353"/>
    <w:rsid w:val="008B12B5"/>
    <w:rsid w:val="008B12FA"/>
    <w:rsid w:val="008B1AE2"/>
    <w:rsid w:val="008B2D92"/>
    <w:rsid w:val="008B2E12"/>
    <w:rsid w:val="008B3257"/>
    <w:rsid w:val="008B3805"/>
    <w:rsid w:val="008B3A76"/>
    <w:rsid w:val="008B3DDD"/>
    <w:rsid w:val="008B41A5"/>
    <w:rsid w:val="008B41D6"/>
    <w:rsid w:val="008B450A"/>
    <w:rsid w:val="008B578F"/>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8DD"/>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59"/>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36E6F"/>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67ABC"/>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996"/>
    <w:rsid w:val="00976E7B"/>
    <w:rsid w:val="00976ECC"/>
    <w:rsid w:val="009777D9"/>
    <w:rsid w:val="009778FF"/>
    <w:rsid w:val="00977EE4"/>
    <w:rsid w:val="00980541"/>
    <w:rsid w:val="00981273"/>
    <w:rsid w:val="00981548"/>
    <w:rsid w:val="00982539"/>
    <w:rsid w:val="0098384D"/>
    <w:rsid w:val="00984C90"/>
    <w:rsid w:val="009855F1"/>
    <w:rsid w:val="00985980"/>
    <w:rsid w:val="00985DAA"/>
    <w:rsid w:val="009865AC"/>
    <w:rsid w:val="00986AA3"/>
    <w:rsid w:val="00987104"/>
    <w:rsid w:val="009872EE"/>
    <w:rsid w:val="00987D02"/>
    <w:rsid w:val="00987D1B"/>
    <w:rsid w:val="00987D71"/>
    <w:rsid w:val="00987F8E"/>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4A3"/>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06D6"/>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3D97"/>
    <w:rsid w:val="009E40F6"/>
    <w:rsid w:val="009E45EB"/>
    <w:rsid w:val="009E5721"/>
    <w:rsid w:val="009E5AD6"/>
    <w:rsid w:val="009E6564"/>
    <w:rsid w:val="009E75E2"/>
    <w:rsid w:val="009F17A8"/>
    <w:rsid w:val="009F1B44"/>
    <w:rsid w:val="009F1D8D"/>
    <w:rsid w:val="009F1E40"/>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0DAC"/>
    <w:rsid w:val="00A015C6"/>
    <w:rsid w:val="00A0168D"/>
    <w:rsid w:val="00A016D0"/>
    <w:rsid w:val="00A0213A"/>
    <w:rsid w:val="00A02C2F"/>
    <w:rsid w:val="00A032EC"/>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065"/>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8D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4605"/>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7F4"/>
    <w:rsid w:val="00A61C87"/>
    <w:rsid w:val="00A625C6"/>
    <w:rsid w:val="00A62782"/>
    <w:rsid w:val="00A62CBB"/>
    <w:rsid w:val="00A639A6"/>
    <w:rsid w:val="00A63DC1"/>
    <w:rsid w:val="00A6461A"/>
    <w:rsid w:val="00A64849"/>
    <w:rsid w:val="00A64CEF"/>
    <w:rsid w:val="00A653ED"/>
    <w:rsid w:val="00A665A3"/>
    <w:rsid w:val="00A67150"/>
    <w:rsid w:val="00A67233"/>
    <w:rsid w:val="00A70321"/>
    <w:rsid w:val="00A7090C"/>
    <w:rsid w:val="00A70E4E"/>
    <w:rsid w:val="00A7113E"/>
    <w:rsid w:val="00A714E2"/>
    <w:rsid w:val="00A7179E"/>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307"/>
    <w:rsid w:val="00A837AD"/>
    <w:rsid w:val="00A850A0"/>
    <w:rsid w:val="00A85341"/>
    <w:rsid w:val="00A85E41"/>
    <w:rsid w:val="00A85E51"/>
    <w:rsid w:val="00A86037"/>
    <w:rsid w:val="00A863D3"/>
    <w:rsid w:val="00A866A3"/>
    <w:rsid w:val="00A8699E"/>
    <w:rsid w:val="00A86CE9"/>
    <w:rsid w:val="00A90103"/>
    <w:rsid w:val="00A907C3"/>
    <w:rsid w:val="00A91A19"/>
    <w:rsid w:val="00A91B11"/>
    <w:rsid w:val="00A91C92"/>
    <w:rsid w:val="00A9214D"/>
    <w:rsid w:val="00A922AF"/>
    <w:rsid w:val="00A93462"/>
    <w:rsid w:val="00A93994"/>
    <w:rsid w:val="00A93B3E"/>
    <w:rsid w:val="00A942D9"/>
    <w:rsid w:val="00A94D47"/>
    <w:rsid w:val="00A94E20"/>
    <w:rsid w:val="00A94FD7"/>
    <w:rsid w:val="00A9510C"/>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38A8"/>
    <w:rsid w:val="00AB43F5"/>
    <w:rsid w:val="00AB457D"/>
    <w:rsid w:val="00AB4A36"/>
    <w:rsid w:val="00AB50F7"/>
    <w:rsid w:val="00AB542E"/>
    <w:rsid w:val="00AB6877"/>
    <w:rsid w:val="00AB6BCB"/>
    <w:rsid w:val="00AB6DF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BDC"/>
    <w:rsid w:val="00AD5CF3"/>
    <w:rsid w:val="00AD613B"/>
    <w:rsid w:val="00AD6B1A"/>
    <w:rsid w:val="00AD6B44"/>
    <w:rsid w:val="00AE02A7"/>
    <w:rsid w:val="00AE089F"/>
    <w:rsid w:val="00AE0A38"/>
    <w:rsid w:val="00AE0C85"/>
    <w:rsid w:val="00AE1B79"/>
    <w:rsid w:val="00AE1C6B"/>
    <w:rsid w:val="00AE2639"/>
    <w:rsid w:val="00AE28CA"/>
    <w:rsid w:val="00AE29B5"/>
    <w:rsid w:val="00AE2F8C"/>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A50"/>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32A9"/>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3C44"/>
    <w:rsid w:val="00B3506B"/>
    <w:rsid w:val="00B351A2"/>
    <w:rsid w:val="00B358E0"/>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CD3"/>
    <w:rsid w:val="00B61D46"/>
    <w:rsid w:val="00B62274"/>
    <w:rsid w:val="00B62489"/>
    <w:rsid w:val="00B62820"/>
    <w:rsid w:val="00B63288"/>
    <w:rsid w:val="00B632B2"/>
    <w:rsid w:val="00B63FF1"/>
    <w:rsid w:val="00B6413C"/>
    <w:rsid w:val="00B64183"/>
    <w:rsid w:val="00B64524"/>
    <w:rsid w:val="00B64813"/>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5D2E"/>
    <w:rsid w:val="00B8658B"/>
    <w:rsid w:val="00B865FB"/>
    <w:rsid w:val="00B867CC"/>
    <w:rsid w:val="00B86874"/>
    <w:rsid w:val="00B86C84"/>
    <w:rsid w:val="00B86E05"/>
    <w:rsid w:val="00B87063"/>
    <w:rsid w:val="00B8711E"/>
    <w:rsid w:val="00B902E7"/>
    <w:rsid w:val="00B90CF8"/>
    <w:rsid w:val="00B90D95"/>
    <w:rsid w:val="00B91430"/>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311"/>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627"/>
    <w:rsid w:val="00BD6BB8"/>
    <w:rsid w:val="00BD709A"/>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271A"/>
    <w:rsid w:val="00C02CAF"/>
    <w:rsid w:val="00C03CB2"/>
    <w:rsid w:val="00C03DD4"/>
    <w:rsid w:val="00C04470"/>
    <w:rsid w:val="00C045EA"/>
    <w:rsid w:val="00C049E7"/>
    <w:rsid w:val="00C0520E"/>
    <w:rsid w:val="00C05656"/>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77"/>
    <w:rsid w:val="00C168A0"/>
    <w:rsid w:val="00C173E8"/>
    <w:rsid w:val="00C1798B"/>
    <w:rsid w:val="00C17E24"/>
    <w:rsid w:val="00C20171"/>
    <w:rsid w:val="00C2018B"/>
    <w:rsid w:val="00C20432"/>
    <w:rsid w:val="00C20F37"/>
    <w:rsid w:val="00C21441"/>
    <w:rsid w:val="00C228AD"/>
    <w:rsid w:val="00C22A16"/>
    <w:rsid w:val="00C22E96"/>
    <w:rsid w:val="00C232F2"/>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882"/>
    <w:rsid w:val="00C60002"/>
    <w:rsid w:val="00C60803"/>
    <w:rsid w:val="00C60F39"/>
    <w:rsid w:val="00C610EF"/>
    <w:rsid w:val="00C61E02"/>
    <w:rsid w:val="00C624D6"/>
    <w:rsid w:val="00C628C2"/>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DC1"/>
    <w:rsid w:val="00C85F02"/>
    <w:rsid w:val="00C85F44"/>
    <w:rsid w:val="00C903FA"/>
    <w:rsid w:val="00C907BC"/>
    <w:rsid w:val="00C909E2"/>
    <w:rsid w:val="00C90BAC"/>
    <w:rsid w:val="00C9109D"/>
    <w:rsid w:val="00C91204"/>
    <w:rsid w:val="00C914D4"/>
    <w:rsid w:val="00C92775"/>
    <w:rsid w:val="00C928F1"/>
    <w:rsid w:val="00C933D3"/>
    <w:rsid w:val="00C93588"/>
    <w:rsid w:val="00C935AF"/>
    <w:rsid w:val="00C936F5"/>
    <w:rsid w:val="00C93B8E"/>
    <w:rsid w:val="00C93F49"/>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B8C"/>
    <w:rsid w:val="00CA212F"/>
    <w:rsid w:val="00CA2BCF"/>
    <w:rsid w:val="00CA302D"/>
    <w:rsid w:val="00CA3298"/>
    <w:rsid w:val="00CA3775"/>
    <w:rsid w:val="00CA3950"/>
    <w:rsid w:val="00CA3CDB"/>
    <w:rsid w:val="00CA3E22"/>
    <w:rsid w:val="00CA421E"/>
    <w:rsid w:val="00CA4FC7"/>
    <w:rsid w:val="00CA6114"/>
    <w:rsid w:val="00CB0A19"/>
    <w:rsid w:val="00CB186D"/>
    <w:rsid w:val="00CB1ABA"/>
    <w:rsid w:val="00CB1AFF"/>
    <w:rsid w:val="00CB1FDE"/>
    <w:rsid w:val="00CB20C6"/>
    <w:rsid w:val="00CB220C"/>
    <w:rsid w:val="00CB254D"/>
    <w:rsid w:val="00CB285C"/>
    <w:rsid w:val="00CB304B"/>
    <w:rsid w:val="00CB31CA"/>
    <w:rsid w:val="00CB3EFE"/>
    <w:rsid w:val="00CB4078"/>
    <w:rsid w:val="00CB4318"/>
    <w:rsid w:val="00CB547D"/>
    <w:rsid w:val="00CB564B"/>
    <w:rsid w:val="00CB56AA"/>
    <w:rsid w:val="00CB5895"/>
    <w:rsid w:val="00CB6012"/>
    <w:rsid w:val="00CB60EC"/>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9A5"/>
    <w:rsid w:val="00CC7F7A"/>
    <w:rsid w:val="00CD0105"/>
    <w:rsid w:val="00CD1BD4"/>
    <w:rsid w:val="00CD22F8"/>
    <w:rsid w:val="00CD2792"/>
    <w:rsid w:val="00CD308F"/>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D7D2A"/>
    <w:rsid w:val="00CE0F04"/>
    <w:rsid w:val="00CE14F1"/>
    <w:rsid w:val="00CE1804"/>
    <w:rsid w:val="00CE18C7"/>
    <w:rsid w:val="00CE202A"/>
    <w:rsid w:val="00CE240C"/>
    <w:rsid w:val="00CE247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4E24"/>
    <w:rsid w:val="00CF58A4"/>
    <w:rsid w:val="00CF5E33"/>
    <w:rsid w:val="00CF5F41"/>
    <w:rsid w:val="00CF5FB3"/>
    <w:rsid w:val="00CF659B"/>
    <w:rsid w:val="00CF6624"/>
    <w:rsid w:val="00CF6CDA"/>
    <w:rsid w:val="00CF7CFC"/>
    <w:rsid w:val="00D00A28"/>
    <w:rsid w:val="00D00D9F"/>
    <w:rsid w:val="00D01438"/>
    <w:rsid w:val="00D0212D"/>
    <w:rsid w:val="00D021EE"/>
    <w:rsid w:val="00D0256C"/>
    <w:rsid w:val="00D02CB6"/>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0AD"/>
    <w:rsid w:val="00D20CA5"/>
    <w:rsid w:val="00D20CB7"/>
    <w:rsid w:val="00D21698"/>
    <w:rsid w:val="00D21DD0"/>
    <w:rsid w:val="00D22B93"/>
    <w:rsid w:val="00D22EEE"/>
    <w:rsid w:val="00D22F85"/>
    <w:rsid w:val="00D23A9C"/>
    <w:rsid w:val="00D2452D"/>
    <w:rsid w:val="00D24B03"/>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3AE"/>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834"/>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32D5"/>
    <w:rsid w:val="00DA5562"/>
    <w:rsid w:val="00DA67B9"/>
    <w:rsid w:val="00DA723B"/>
    <w:rsid w:val="00DA72E7"/>
    <w:rsid w:val="00DA761D"/>
    <w:rsid w:val="00DA763D"/>
    <w:rsid w:val="00DA7C66"/>
    <w:rsid w:val="00DA7F17"/>
    <w:rsid w:val="00DB0117"/>
    <w:rsid w:val="00DB024E"/>
    <w:rsid w:val="00DB07CF"/>
    <w:rsid w:val="00DB0AE6"/>
    <w:rsid w:val="00DB1066"/>
    <w:rsid w:val="00DB146C"/>
    <w:rsid w:val="00DB1D4D"/>
    <w:rsid w:val="00DB2D16"/>
    <w:rsid w:val="00DB2D68"/>
    <w:rsid w:val="00DB3139"/>
    <w:rsid w:val="00DB435E"/>
    <w:rsid w:val="00DB45F9"/>
    <w:rsid w:val="00DB4E3C"/>
    <w:rsid w:val="00DB4E58"/>
    <w:rsid w:val="00DB5456"/>
    <w:rsid w:val="00DB5554"/>
    <w:rsid w:val="00DB578A"/>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17EB"/>
    <w:rsid w:val="00DE2DDB"/>
    <w:rsid w:val="00DE34CF"/>
    <w:rsid w:val="00DE3BDA"/>
    <w:rsid w:val="00DE3D85"/>
    <w:rsid w:val="00DE3E89"/>
    <w:rsid w:val="00DE41CB"/>
    <w:rsid w:val="00DE4429"/>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C58"/>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537E"/>
    <w:rsid w:val="00E46815"/>
    <w:rsid w:val="00E50B00"/>
    <w:rsid w:val="00E50C3D"/>
    <w:rsid w:val="00E50F1C"/>
    <w:rsid w:val="00E511F6"/>
    <w:rsid w:val="00E51605"/>
    <w:rsid w:val="00E531A4"/>
    <w:rsid w:val="00E54F5C"/>
    <w:rsid w:val="00E560C3"/>
    <w:rsid w:val="00E56152"/>
    <w:rsid w:val="00E56166"/>
    <w:rsid w:val="00E563DA"/>
    <w:rsid w:val="00E56EAC"/>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4BD0"/>
    <w:rsid w:val="00E6532C"/>
    <w:rsid w:val="00E65531"/>
    <w:rsid w:val="00E65BEF"/>
    <w:rsid w:val="00E65EF9"/>
    <w:rsid w:val="00E66139"/>
    <w:rsid w:val="00E666B8"/>
    <w:rsid w:val="00E66BD2"/>
    <w:rsid w:val="00E671D5"/>
    <w:rsid w:val="00E67A2C"/>
    <w:rsid w:val="00E7009A"/>
    <w:rsid w:val="00E709FF"/>
    <w:rsid w:val="00E723CF"/>
    <w:rsid w:val="00E72825"/>
    <w:rsid w:val="00E7286D"/>
    <w:rsid w:val="00E72C3B"/>
    <w:rsid w:val="00E72DCA"/>
    <w:rsid w:val="00E7346C"/>
    <w:rsid w:val="00E735BE"/>
    <w:rsid w:val="00E73711"/>
    <w:rsid w:val="00E73E3F"/>
    <w:rsid w:val="00E74417"/>
    <w:rsid w:val="00E746A5"/>
    <w:rsid w:val="00E7478F"/>
    <w:rsid w:val="00E74B39"/>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9F3"/>
    <w:rsid w:val="00E94EAA"/>
    <w:rsid w:val="00E95278"/>
    <w:rsid w:val="00E953A1"/>
    <w:rsid w:val="00E957DE"/>
    <w:rsid w:val="00E95F3D"/>
    <w:rsid w:val="00E969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2FF"/>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5870"/>
    <w:rsid w:val="00ED7347"/>
    <w:rsid w:val="00ED7D18"/>
    <w:rsid w:val="00EE01FE"/>
    <w:rsid w:val="00EE08B7"/>
    <w:rsid w:val="00EE11D8"/>
    <w:rsid w:val="00EE29FD"/>
    <w:rsid w:val="00EE2C3A"/>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60F"/>
    <w:rsid w:val="00EF1BE4"/>
    <w:rsid w:val="00EF24C0"/>
    <w:rsid w:val="00EF2945"/>
    <w:rsid w:val="00EF2EEF"/>
    <w:rsid w:val="00EF36AC"/>
    <w:rsid w:val="00EF37F6"/>
    <w:rsid w:val="00EF3857"/>
    <w:rsid w:val="00EF447F"/>
    <w:rsid w:val="00EF4F35"/>
    <w:rsid w:val="00EF5139"/>
    <w:rsid w:val="00EF5CA6"/>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8E1"/>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17F5C"/>
    <w:rsid w:val="00F20554"/>
    <w:rsid w:val="00F207AC"/>
    <w:rsid w:val="00F21206"/>
    <w:rsid w:val="00F214E2"/>
    <w:rsid w:val="00F21CE0"/>
    <w:rsid w:val="00F226A8"/>
    <w:rsid w:val="00F23367"/>
    <w:rsid w:val="00F23714"/>
    <w:rsid w:val="00F23B69"/>
    <w:rsid w:val="00F23E5D"/>
    <w:rsid w:val="00F23F70"/>
    <w:rsid w:val="00F24B79"/>
    <w:rsid w:val="00F25438"/>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139"/>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6EBB"/>
    <w:rsid w:val="00F470EE"/>
    <w:rsid w:val="00F47848"/>
    <w:rsid w:val="00F47B04"/>
    <w:rsid w:val="00F50713"/>
    <w:rsid w:val="00F5078D"/>
    <w:rsid w:val="00F51369"/>
    <w:rsid w:val="00F5179A"/>
    <w:rsid w:val="00F52A68"/>
    <w:rsid w:val="00F52E78"/>
    <w:rsid w:val="00F52E83"/>
    <w:rsid w:val="00F530F4"/>
    <w:rsid w:val="00F537EA"/>
    <w:rsid w:val="00F54FA6"/>
    <w:rsid w:val="00F55629"/>
    <w:rsid w:val="00F56292"/>
    <w:rsid w:val="00F57131"/>
    <w:rsid w:val="00F57185"/>
    <w:rsid w:val="00F5739F"/>
    <w:rsid w:val="00F60510"/>
    <w:rsid w:val="00F606AB"/>
    <w:rsid w:val="00F6076C"/>
    <w:rsid w:val="00F61B42"/>
    <w:rsid w:val="00F61BC7"/>
    <w:rsid w:val="00F620B3"/>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5AE"/>
    <w:rsid w:val="00F72B49"/>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B3B"/>
    <w:rsid w:val="00FA5CA1"/>
    <w:rsid w:val="00FA5FC7"/>
    <w:rsid w:val="00FA62EA"/>
    <w:rsid w:val="00FA6D44"/>
    <w:rsid w:val="00FA75B6"/>
    <w:rsid w:val="00FA782F"/>
    <w:rsid w:val="00FA7CDB"/>
    <w:rsid w:val="00FB0444"/>
    <w:rsid w:val="00FB0E82"/>
    <w:rsid w:val="00FB1CA3"/>
    <w:rsid w:val="00FB1CC6"/>
    <w:rsid w:val="00FB2174"/>
    <w:rsid w:val="00FB2AC1"/>
    <w:rsid w:val="00FB2E04"/>
    <w:rsid w:val="00FB3D73"/>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31E"/>
    <w:rsid w:val="00FD079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4F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1B44"/>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link w:val="50"/>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1">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2">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13"/>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13">
    <w:name w:val="批注文字 字符1"/>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2"/>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0015A"/>
    <w:pPr>
      <w:spacing w:afterLines="60" w:after="120"/>
      <w:jc w:val="both"/>
    </w:pPr>
    <w:rPr>
      <w:szCs w:val="24"/>
      <w:lang w:val="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5">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6">
    <w:name w:val="Title"/>
    <w:basedOn w:val="a"/>
    <w:next w:val="a"/>
    <w:link w:val="af7"/>
    <w:qFormat/>
    <w:rsid w:val="00CC7F7A"/>
    <w:pPr>
      <w:spacing w:before="240" w:after="60"/>
      <w:jc w:val="center"/>
      <w:outlineLvl w:val="0"/>
    </w:pPr>
    <w:rPr>
      <w:rFonts w:ascii="Calibri Light" w:hAnsi="Calibri Light"/>
      <w:b/>
      <w:bCs/>
      <w:kern w:val="28"/>
      <w:sz w:val="32"/>
      <w:szCs w:val="32"/>
    </w:rPr>
  </w:style>
  <w:style w:type="character" w:customStyle="1" w:styleId="af7">
    <w:name w:val="标题 字符"/>
    <w:link w:val="af6"/>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8">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9">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4">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c"/>
    <w:unhideWhenUsed/>
    <w:qFormat/>
    <w:rsid w:val="00826177"/>
    <w:pPr>
      <w:spacing w:after="200"/>
    </w:pPr>
    <w:rPr>
      <w:rFonts w:eastAsia="等线"/>
      <w:i/>
      <w:iCs/>
      <w:color w:val="44546A"/>
      <w:sz w:val="18"/>
      <w:szCs w:val="18"/>
      <w:lang w:val="en-US"/>
    </w:rPr>
  </w:style>
  <w:style w:type="character" w:customStyle="1" w:styleId="afc">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b"/>
    <w:qFormat/>
    <w:rsid w:val="00826177"/>
    <w:rPr>
      <w:rFonts w:ascii="Times New Roman" w:eastAsia="等线" w:hAnsi="Times New Roman"/>
      <w:i/>
      <w:iCs/>
      <w:color w:val="44546A"/>
      <w:sz w:val="18"/>
      <w:szCs w:val="18"/>
      <w:lang w:eastAsia="en-US"/>
    </w:rPr>
  </w:style>
  <w:style w:type="character" w:customStyle="1" w:styleId="af2">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1"/>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fd">
    <w:name w:val="批注文字 字符"/>
    <w:rsid w:val="00DB45F9"/>
    <w:rPr>
      <w:lang w:val="x-none" w:eastAsia="en-US"/>
    </w:rPr>
  </w:style>
  <w:style w:type="character" w:customStyle="1" w:styleId="50">
    <w:name w:val="标题 5 字符"/>
    <w:basedOn w:val="a0"/>
    <w:link w:val="5"/>
    <w:qFormat/>
    <w:rsid w:val="00914159"/>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3445341">
      <w:bodyDiv w:val="1"/>
      <w:marLeft w:val="0"/>
      <w:marRight w:val="0"/>
      <w:marTop w:val="0"/>
      <w:marBottom w:val="0"/>
      <w:divBdr>
        <w:top w:val="none" w:sz="0" w:space="0" w:color="auto"/>
        <w:left w:val="none" w:sz="0" w:space="0" w:color="auto"/>
        <w:bottom w:val="none" w:sz="0" w:space="0" w:color="auto"/>
        <w:right w:val="none" w:sz="0" w:space="0" w:color="auto"/>
      </w:divBdr>
      <w:divsChild>
        <w:div w:id="1224675385">
          <w:marLeft w:val="0"/>
          <w:marRight w:val="0"/>
          <w:marTop w:val="0"/>
          <w:marBottom w:val="0"/>
          <w:divBdr>
            <w:top w:val="none" w:sz="0" w:space="0" w:color="auto"/>
            <w:left w:val="none" w:sz="0" w:space="0" w:color="auto"/>
            <w:bottom w:val="none" w:sz="0" w:space="0" w:color="auto"/>
            <w:right w:val="none" w:sz="0" w:space="0" w:color="auto"/>
          </w:divBdr>
        </w:div>
      </w:divsChild>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9910-422E-44C5-8168-46F96E43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2471</Words>
  <Characters>14089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24</cp:revision>
  <dcterms:created xsi:type="dcterms:W3CDTF">2024-05-07T21:42:00Z</dcterms:created>
  <dcterms:modified xsi:type="dcterms:W3CDTF">2024-05-10T07:54:00Z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(3)4KugFhKoOJMmoZnx1gkyirpMrM+OnCs1JDwXE82EP2JipmrmVCHw4jE819zGVWz/oIVApbFw
l8vNw8LyMpWpSLhKKa8UtMUAHBvrSIHWqckeziLmkxb0UEZrUCkWRe+nxspN9xELoVoMZfxj
ojiV+eYJ+RmL/gVrWxbCojFscM/6CY2SAEsqBHT2T9tQcjQdIHJ1rCclKZENiabgR/0WqjOw
leNmojA7fZlGkolvA9</vt:lpwstr>
  </property>
  <property fmtid="{D5CDD505-2E9C-101B-9397-08002B2CF9AE}" pid="4" name="_2015_ms_pID_7253431">
    <vt:lpwstr>+YeDHO8jjkFYhSVoL2lbO/whzFg9uDiZyW/hz6ZaYam4CDuCfVE6XS
aQVWFXMrrpz5FcrsuZmRjrHIAwrt9wYVQegw2ypBUn8ZdazLOjQImkKKhBu2Jq133pwuujW0
vfYPyn0kVYIxJIlAusRSsxjbe7yiKHaMb/9phKKguvXLAS5hWuUNwgHEmeFJS6Xg1b8X6SOB
FMkBn1FS4ITOwsVhJmvEyi+g63c6l8GJa+Z6</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1714988859</vt:lpwstr>
  </property>
</Properties>
</file>